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2381"/>
        <w:gridCol w:w="7087"/>
      </w:tblGrid>
      <w:tr w:rsidR="00147B3C" w:rsidTr="00F930E2">
        <w:trPr>
          <w:trHeight w:val="1440"/>
        </w:trPr>
        <w:tc>
          <w:tcPr>
            <w:tcW w:w="2381" w:type="dxa"/>
            <w:tcBorders>
              <w:top w:val="nil"/>
              <w:left w:val="nil"/>
              <w:bottom w:val="nil"/>
              <w:right w:val="nil"/>
            </w:tcBorders>
          </w:tcPr>
          <w:p w:rsidR="00147B3C" w:rsidRPr="00F930E2" w:rsidRDefault="00A60D3A" w:rsidP="007615C4">
            <w:pPr>
              <w:pStyle w:val="ZCom"/>
            </w:pPr>
            <w:bookmarkStart w:id="0" w:name="_Toc384673730"/>
            <w:bookmarkStart w:id="1" w:name="_Toc384825086"/>
            <w:bookmarkStart w:id="2" w:name="_Toc384834026"/>
            <w:r>
              <w:rPr>
                <w:noProof/>
                <w:sz w:val="20"/>
                <w:szCs w:val="20"/>
                <w:lang w:val="es-ES" w:eastAsia="es-ES"/>
              </w:rPr>
              <w:drawing>
                <wp:inline distT="0" distB="0" distL="0" distR="0">
                  <wp:extent cx="1371600" cy="676275"/>
                  <wp:effectExtent l="0" t="0" r="0" b="9525"/>
                  <wp:docPr id="1" name="Picture 1"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c_17_colors_300dp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676275"/>
                          </a:xfrm>
                          <a:prstGeom prst="rect">
                            <a:avLst/>
                          </a:prstGeom>
                          <a:noFill/>
                          <a:ln>
                            <a:noFill/>
                          </a:ln>
                        </pic:spPr>
                      </pic:pic>
                    </a:graphicData>
                  </a:graphic>
                </wp:inline>
              </w:drawing>
            </w:r>
          </w:p>
        </w:tc>
        <w:tc>
          <w:tcPr>
            <w:tcW w:w="7087" w:type="dxa"/>
            <w:tcBorders>
              <w:top w:val="nil"/>
              <w:left w:val="nil"/>
              <w:bottom w:val="nil"/>
              <w:right w:val="nil"/>
            </w:tcBorders>
          </w:tcPr>
          <w:p w:rsidR="00147B3C" w:rsidRPr="00F930E2" w:rsidRDefault="00147B3C" w:rsidP="007615C4">
            <w:pPr>
              <w:pStyle w:val="ZCom"/>
              <w:spacing w:before="90"/>
            </w:pPr>
            <w:r w:rsidRPr="00F930E2">
              <w:t>EUROPEAN COMMISSION</w:t>
            </w:r>
          </w:p>
          <w:p w:rsidR="00147B3C" w:rsidRPr="00F930E2" w:rsidRDefault="00147B3C" w:rsidP="007615C4">
            <w:pPr>
              <w:pStyle w:val="ZDGName"/>
              <w:jc w:val="both"/>
            </w:pPr>
            <w:r w:rsidRPr="00F930E2">
              <w:t>DIRECTORATE-GENERAL FOR ENERGY</w:t>
            </w:r>
          </w:p>
          <w:p w:rsidR="00147B3C" w:rsidRPr="00F930E2" w:rsidRDefault="00147B3C" w:rsidP="007615C4">
            <w:pPr>
              <w:pStyle w:val="ZDGName"/>
              <w:jc w:val="both"/>
            </w:pPr>
          </w:p>
          <w:p w:rsidR="00147B3C" w:rsidRPr="00F930E2" w:rsidRDefault="00147B3C" w:rsidP="007615C4">
            <w:pPr>
              <w:pStyle w:val="ZDGName"/>
              <w:jc w:val="both"/>
            </w:pPr>
            <w:r w:rsidRPr="00F930E2">
              <w:t>Directorate C - Renewables, Research and Innovation, Energy Efficiency</w:t>
            </w:r>
          </w:p>
          <w:p w:rsidR="00147B3C" w:rsidRPr="00F930E2" w:rsidRDefault="00147B3C" w:rsidP="007615C4">
            <w:pPr>
              <w:pStyle w:val="ZDGName"/>
              <w:jc w:val="both"/>
            </w:pPr>
            <w:r w:rsidRPr="00F930E2">
              <w:rPr>
                <w:b/>
                <w:bCs/>
              </w:rPr>
              <w:t>C.3 - Energy efficiency</w:t>
            </w:r>
          </w:p>
          <w:p w:rsidR="00147B3C" w:rsidRPr="00F930E2" w:rsidRDefault="00147B3C" w:rsidP="007615C4">
            <w:pPr>
              <w:pStyle w:val="ZDGName"/>
              <w:jc w:val="both"/>
            </w:pPr>
          </w:p>
        </w:tc>
      </w:tr>
    </w:tbl>
    <w:p w:rsidR="002433D5" w:rsidRPr="00774976" w:rsidRDefault="002433D5" w:rsidP="00803A15">
      <w:pPr>
        <w:spacing w:before="1200" w:after="1200"/>
        <w:jc w:val="center"/>
        <w:rPr>
          <w:b/>
          <w:sz w:val="32"/>
          <w:szCs w:val="32"/>
        </w:rPr>
      </w:pPr>
      <w:r w:rsidRPr="00774976">
        <w:rPr>
          <w:b/>
          <w:sz w:val="32"/>
          <w:szCs w:val="32"/>
        </w:rPr>
        <w:t>Guidelines accompanying</w:t>
      </w:r>
      <w:r w:rsidR="00D75630">
        <w:rPr>
          <w:b/>
          <w:sz w:val="32"/>
          <w:szCs w:val="32"/>
        </w:rPr>
        <w:t>:</w:t>
      </w:r>
      <w:r w:rsidR="00D75630">
        <w:rPr>
          <w:b/>
          <w:sz w:val="32"/>
          <w:szCs w:val="32"/>
        </w:rPr>
        <w:br/>
      </w:r>
      <w:r w:rsidR="00D75630">
        <w:rPr>
          <w:b/>
          <w:sz w:val="32"/>
          <w:szCs w:val="32"/>
        </w:rPr>
        <w:br/>
      </w:r>
      <w:r w:rsidR="00D75630" w:rsidRPr="00D75630">
        <w:rPr>
          <w:b/>
          <w:sz w:val="32"/>
          <w:szCs w:val="32"/>
        </w:rPr>
        <w:t xml:space="preserve">Commission Delegated Regulation (EU) No </w:t>
      </w:r>
      <w:r w:rsidR="00532DC7">
        <w:rPr>
          <w:b/>
          <w:sz w:val="32"/>
          <w:szCs w:val="32"/>
        </w:rPr>
        <w:t>811</w:t>
      </w:r>
      <w:r w:rsidR="00D75630" w:rsidRPr="00D75630">
        <w:rPr>
          <w:b/>
          <w:sz w:val="32"/>
          <w:szCs w:val="32"/>
        </w:rPr>
        <w:t xml:space="preserve">/2013 of </w:t>
      </w:r>
      <w:r w:rsidR="00532DC7">
        <w:rPr>
          <w:b/>
          <w:sz w:val="32"/>
          <w:szCs w:val="32"/>
        </w:rPr>
        <w:t>18 February 2013</w:t>
      </w:r>
      <w:r w:rsidR="00D75630" w:rsidRPr="00D75630">
        <w:rPr>
          <w:b/>
          <w:sz w:val="32"/>
          <w:szCs w:val="32"/>
        </w:rPr>
        <w:t xml:space="preserve"> supplementing Directive 2010/30/EU with regard to energy labelling of </w:t>
      </w:r>
      <w:r w:rsidR="00532DC7">
        <w:rPr>
          <w:b/>
          <w:sz w:val="32"/>
          <w:szCs w:val="32"/>
        </w:rPr>
        <w:t>space heaters, combination heaters, packages of space heater, temperature control and solar device and packages of combination heater, temperature control and solar device</w:t>
      </w:r>
      <w:r w:rsidR="005A757E">
        <w:rPr>
          <w:b/>
          <w:sz w:val="32"/>
          <w:szCs w:val="32"/>
        </w:rPr>
        <w:br/>
      </w:r>
      <w:r w:rsidR="00D75630">
        <w:rPr>
          <w:b/>
          <w:sz w:val="32"/>
          <w:szCs w:val="32"/>
        </w:rPr>
        <w:br/>
      </w:r>
      <w:r w:rsidR="00532DC7" w:rsidRPr="00D75630">
        <w:rPr>
          <w:b/>
          <w:sz w:val="32"/>
          <w:szCs w:val="32"/>
        </w:rPr>
        <w:t xml:space="preserve">Commission Delegated Regulation (EU) No </w:t>
      </w:r>
      <w:r w:rsidR="00532DC7">
        <w:rPr>
          <w:b/>
          <w:sz w:val="32"/>
          <w:szCs w:val="32"/>
        </w:rPr>
        <w:t>812</w:t>
      </w:r>
      <w:r w:rsidR="00532DC7" w:rsidRPr="00D75630">
        <w:rPr>
          <w:b/>
          <w:sz w:val="32"/>
          <w:szCs w:val="32"/>
        </w:rPr>
        <w:t xml:space="preserve">/2013 of </w:t>
      </w:r>
      <w:r w:rsidR="00532DC7">
        <w:rPr>
          <w:b/>
          <w:sz w:val="32"/>
          <w:szCs w:val="32"/>
        </w:rPr>
        <w:t>18 February 2013</w:t>
      </w:r>
      <w:r w:rsidR="00532DC7" w:rsidRPr="00D75630">
        <w:rPr>
          <w:b/>
          <w:sz w:val="32"/>
          <w:szCs w:val="32"/>
        </w:rPr>
        <w:t xml:space="preserve"> supplementing Directive 2010/30/EU with regard to energy labelling of </w:t>
      </w:r>
      <w:r w:rsidR="005A757E">
        <w:rPr>
          <w:b/>
          <w:sz w:val="32"/>
          <w:szCs w:val="32"/>
        </w:rPr>
        <w:t>water</w:t>
      </w:r>
      <w:r w:rsidR="00532DC7">
        <w:rPr>
          <w:b/>
          <w:sz w:val="32"/>
          <w:szCs w:val="32"/>
        </w:rPr>
        <w:t xml:space="preserve"> heaters, </w:t>
      </w:r>
      <w:r w:rsidR="005A757E">
        <w:rPr>
          <w:b/>
          <w:sz w:val="32"/>
          <w:szCs w:val="32"/>
        </w:rPr>
        <w:t>hot water storage tanks and</w:t>
      </w:r>
      <w:r w:rsidR="00532DC7">
        <w:rPr>
          <w:b/>
          <w:sz w:val="32"/>
          <w:szCs w:val="32"/>
        </w:rPr>
        <w:t xml:space="preserve"> packages of </w:t>
      </w:r>
      <w:r w:rsidR="005A757E">
        <w:rPr>
          <w:b/>
          <w:sz w:val="32"/>
          <w:szCs w:val="32"/>
        </w:rPr>
        <w:t>water heater and solar device</w:t>
      </w:r>
      <w:r w:rsidR="00D75630">
        <w:rPr>
          <w:b/>
          <w:sz w:val="32"/>
          <w:szCs w:val="32"/>
        </w:rPr>
        <w:br/>
      </w:r>
      <w:r w:rsidR="00D75630">
        <w:rPr>
          <w:b/>
          <w:sz w:val="32"/>
          <w:szCs w:val="32"/>
        </w:rPr>
        <w:br/>
      </w:r>
      <w:r w:rsidR="00D75630" w:rsidRPr="00D75630">
        <w:rPr>
          <w:b/>
          <w:sz w:val="32"/>
          <w:szCs w:val="32"/>
        </w:rPr>
        <w:t xml:space="preserve">Commission Regulation (EU) No </w:t>
      </w:r>
      <w:r w:rsidR="005A757E">
        <w:rPr>
          <w:b/>
          <w:sz w:val="32"/>
          <w:szCs w:val="32"/>
        </w:rPr>
        <w:t>813</w:t>
      </w:r>
      <w:r w:rsidR="00D75630" w:rsidRPr="00D75630">
        <w:rPr>
          <w:b/>
          <w:sz w:val="32"/>
          <w:szCs w:val="32"/>
        </w:rPr>
        <w:t xml:space="preserve">/2013 of </w:t>
      </w:r>
      <w:r w:rsidR="005A757E">
        <w:rPr>
          <w:b/>
          <w:sz w:val="32"/>
          <w:szCs w:val="32"/>
        </w:rPr>
        <w:t>2 August</w:t>
      </w:r>
      <w:r w:rsidR="00D75630" w:rsidRPr="00D75630">
        <w:rPr>
          <w:b/>
          <w:sz w:val="32"/>
          <w:szCs w:val="32"/>
        </w:rPr>
        <w:t xml:space="preserve"> 2013 implementing Directive 2009/125/EC with regard to ecodesign requirements for </w:t>
      </w:r>
      <w:r w:rsidR="005A757E">
        <w:rPr>
          <w:b/>
          <w:sz w:val="32"/>
          <w:szCs w:val="32"/>
        </w:rPr>
        <w:t>space heaters and combination heaters</w:t>
      </w:r>
      <w:r w:rsidR="005A757E">
        <w:rPr>
          <w:b/>
          <w:sz w:val="32"/>
          <w:szCs w:val="32"/>
        </w:rPr>
        <w:br/>
      </w:r>
      <w:r w:rsidR="005A757E">
        <w:rPr>
          <w:b/>
          <w:sz w:val="32"/>
          <w:szCs w:val="32"/>
        </w:rPr>
        <w:br/>
        <w:t>and</w:t>
      </w:r>
      <w:r w:rsidR="005A757E">
        <w:rPr>
          <w:b/>
          <w:sz w:val="32"/>
          <w:szCs w:val="32"/>
        </w:rPr>
        <w:br/>
      </w:r>
      <w:r w:rsidR="005A757E">
        <w:rPr>
          <w:b/>
          <w:sz w:val="32"/>
          <w:szCs w:val="32"/>
        </w:rPr>
        <w:br/>
      </w:r>
      <w:r w:rsidR="005A757E" w:rsidRPr="00D75630">
        <w:rPr>
          <w:b/>
          <w:sz w:val="32"/>
          <w:szCs w:val="32"/>
        </w:rPr>
        <w:t xml:space="preserve">Commission Regulation (EU) No </w:t>
      </w:r>
      <w:r w:rsidR="005A757E">
        <w:rPr>
          <w:b/>
          <w:sz w:val="32"/>
          <w:szCs w:val="32"/>
        </w:rPr>
        <w:t>814</w:t>
      </w:r>
      <w:r w:rsidR="005A757E" w:rsidRPr="00D75630">
        <w:rPr>
          <w:b/>
          <w:sz w:val="32"/>
          <w:szCs w:val="32"/>
        </w:rPr>
        <w:t xml:space="preserve">/2013 of </w:t>
      </w:r>
      <w:r w:rsidR="005A757E">
        <w:rPr>
          <w:b/>
          <w:sz w:val="32"/>
          <w:szCs w:val="32"/>
        </w:rPr>
        <w:t>2 August</w:t>
      </w:r>
      <w:r w:rsidR="005A757E" w:rsidRPr="00D75630">
        <w:rPr>
          <w:b/>
          <w:sz w:val="32"/>
          <w:szCs w:val="32"/>
        </w:rPr>
        <w:t xml:space="preserve"> 2013 implementing Directive 2009/125/EC with regard to ecodesign requirements for </w:t>
      </w:r>
      <w:r w:rsidR="005A757E">
        <w:rPr>
          <w:b/>
          <w:sz w:val="32"/>
          <w:szCs w:val="32"/>
        </w:rPr>
        <w:t>water heaters and hot water storage tanks</w:t>
      </w:r>
    </w:p>
    <w:p w:rsidR="002433D5" w:rsidRPr="00C62983" w:rsidRDefault="002433D5" w:rsidP="00803A15">
      <w:pPr>
        <w:jc w:val="center"/>
        <w:rPr>
          <w:b/>
        </w:rPr>
      </w:pPr>
      <w:r w:rsidRPr="00C62983">
        <w:rPr>
          <w:b/>
        </w:rPr>
        <w:t>(</w:t>
      </w:r>
      <w:r w:rsidR="00456EC8">
        <w:rPr>
          <w:b/>
        </w:rPr>
        <w:t>November</w:t>
      </w:r>
      <w:r w:rsidRPr="00C62983">
        <w:rPr>
          <w:b/>
        </w:rPr>
        <w:t xml:space="preserve"> 2014)</w:t>
      </w:r>
    </w:p>
    <w:p w:rsidR="00394457" w:rsidRPr="00394457" w:rsidRDefault="005A757E" w:rsidP="007615C4">
      <w:pPr>
        <w:pStyle w:val="TOC1"/>
        <w:jc w:val="both"/>
        <w:rPr>
          <w:b/>
          <w:noProof/>
        </w:rPr>
      </w:pPr>
      <w:r>
        <w:rPr>
          <w:b/>
          <w:noProof/>
        </w:rPr>
        <w:br w:type="page"/>
      </w:r>
      <w:r w:rsidR="00394457" w:rsidRPr="00394457">
        <w:rPr>
          <w:b/>
          <w:noProof/>
        </w:rPr>
        <w:lastRenderedPageBreak/>
        <w:t>Table of Contents</w:t>
      </w:r>
    </w:p>
    <w:p w:rsidR="00394457" w:rsidRDefault="00394457" w:rsidP="007615C4">
      <w:pPr>
        <w:pStyle w:val="TOC1"/>
        <w:jc w:val="both"/>
        <w:rPr>
          <w:noProof/>
        </w:rPr>
      </w:pPr>
    </w:p>
    <w:p w:rsidR="00343E81" w:rsidRDefault="00394457">
      <w:pPr>
        <w:pStyle w:val="TOC1"/>
        <w:rPr>
          <w:rFonts w:asciiTheme="minorHAnsi" w:eastAsiaTheme="minorEastAsia" w:hAnsiTheme="minorHAnsi" w:cstheme="minorBidi"/>
          <w:noProof/>
          <w:sz w:val="22"/>
          <w:szCs w:val="22"/>
          <w:lang w:val="es-ES" w:eastAsia="es-ES"/>
        </w:rPr>
      </w:pPr>
      <w:r>
        <w:rPr>
          <w:noProof/>
        </w:rPr>
        <w:fldChar w:fldCharType="begin"/>
      </w:r>
      <w:r>
        <w:rPr>
          <w:noProof/>
        </w:rPr>
        <w:instrText xml:space="preserve"> TOC \o "1-2" \h \z \u </w:instrText>
      </w:r>
      <w:r>
        <w:rPr>
          <w:noProof/>
        </w:rPr>
        <w:fldChar w:fldCharType="separate"/>
      </w:r>
      <w:hyperlink w:anchor="_Toc402443607" w:history="1">
        <w:r w:rsidR="00343E81" w:rsidRPr="00C678E8">
          <w:rPr>
            <w:rStyle w:val="Hyperlink"/>
            <w:noProof/>
          </w:rPr>
          <w:t>1.</w:t>
        </w:r>
        <w:r w:rsidR="00343E81">
          <w:rPr>
            <w:rFonts w:asciiTheme="minorHAnsi" w:eastAsiaTheme="minorEastAsia" w:hAnsiTheme="minorHAnsi" w:cstheme="minorBidi"/>
            <w:noProof/>
            <w:sz w:val="22"/>
            <w:szCs w:val="22"/>
            <w:lang w:val="es-ES" w:eastAsia="es-ES"/>
          </w:rPr>
          <w:tab/>
        </w:r>
        <w:r w:rsidR="00343E81" w:rsidRPr="00C678E8">
          <w:rPr>
            <w:rStyle w:val="Hyperlink"/>
            <w:noProof/>
          </w:rPr>
          <w:t>Purpose of the guidelines and disclaimer</w:t>
        </w:r>
        <w:r w:rsidR="00343E81">
          <w:rPr>
            <w:noProof/>
            <w:webHidden/>
          </w:rPr>
          <w:tab/>
        </w:r>
        <w:r w:rsidR="00343E81">
          <w:rPr>
            <w:noProof/>
            <w:webHidden/>
          </w:rPr>
          <w:fldChar w:fldCharType="begin"/>
        </w:r>
        <w:r w:rsidR="00343E81">
          <w:rPr>
            <w:noProof/>
            <w:webHidden/>
          </w:rPr>
          <w:instrText xml:space="preserve"> PAGEREF _Toc402443607 \h </w:instrText>
        </w:r>
        <w:r w:rsidR="00343E81">
          <w:rPr>
            <w:noProof/>
            <w:webHidden/>
          </w:rPr>
        </w:r>
        <w:r w:rsidR="00343E81">
          <w:rPr>
            <w:noProof/>
            <w:webHidden/>
          </w:rPr>
          <w:fldChar w:fldCharType="separate"/>
        </w:r>
        <w:r w:rsidR="00343E81">
          <w:rPr>
            <w:noProof/>
            <w:webHidden/>
          </w:rPr>
          <w:t>4</w:t>
        </w:r>
        <w:r w:rsidR="00343E81">
          <w:rPr>
            <w:noProof/>
            <w:webHidden/>
          </w:rPr>
          <w:fldChar w:fldCharType="end"/>
        </w:r>
      </w:hyperlink>
    </w:p>
    <w:p w:rsidR="00343E81" w:rsidRDefault="009B2939">
      <w:pPr>
        <w:pStyle w:val="TOC2"/>
        <w:rPr>
          <w:rFonts w:asciiTheme="minorHAnsi" w:eastAsiaTheme="minorEastAsia" w:hAnsiTheme="minorHAnsi" w:cstheme="minorBidi"/>
          <w:noProof/>
          <w:sz w:val="22"/>
          <w:szCs w:val="22"/>
          <w:lang w:val="es-ES" w:eastAsia="es-ES"/>
        </w:rPr>
      </w:pPr>
      <w:hyperlink w:anchor="_Toc402443608" w:history="1">
        <w:r w:rsidR="00343E81" w:rsidRPr="00C678E8">
          <w:rPr>
            <w:rStyle w:val="Hyperlink"/>
            <w:noProof/>
          </w:rPr>
          <w:t>1.1.</w:t>
        </w:r>
        <w:r w:rsidR="00343E81">
          <w:rPr>
            <w:rFonts w:asciiTheme="minorHAnsi" w:eastAsiaTheme="minorEastAsia" w:hAnsiTheme="minorHAnsi" w:cstheme="minorBidi"/>
            <w:noProof/>
            <w:sz w:val="22"/>
            <w:szCs w:val="22"/>
            <w:lang w:val="es-ES" w:eastAsia="es-ES"/>
          </w:rPr>
          <w:tab/>
        </w:r>
        <w:r w:rsidR="00343E81" w:rsidRPr="00C678E8">
          <w:rPr>
            <w:rStyle w:val="Hyperlink"/>
            <w:noProof/>
          </w:rPr>
          <w:t>The Regulations</w:t>
        </w:r>
        <w:r w:rsidR="00343E81">
          <w:rPr>
            <w:noProof/>
            <w:webHidden/>
          </w:rPr>
          <w:tab/>
        </w:r>
        <w:r w:rsidR="00343E81">
          <w:rPr>
            <w:noProof/>
            <w:webHidden/>
          </w:rPr>
          <w:fldChar w:fldCharType="begin"/>
        </w:r>
        <w:r w:rsidR="00343E81">
          <w:rPr>
            <w:noProof/>
            <w:webHidden/>
          </w:rPr>
          <w:instrText xml:space="preserve"> PAGEREF _Toc402443608 \h </w:instrText>
        </w:r>
        <w:r w:rsidR="00343E81">
          <w:rPr>
            <w:noProof/>
            <w:webHidden/>
          </w:rPr>
        </w:r>
        <w:r w:rsidR="00343E81">
          <w:rPr>
            <w:noProof/>
            <w:webHidden/>
          </w:rPr>
          <w:fldChar w:fldCharType="separate"/>
        </w:r>
        <w:r w:rsidR="00343E81">
          <w:rPr>
            <w:noProof/>
            <w:webHidden/>
          </w:rPr>
          <w:t>4</w:t>
        </w:r>
        <w:r w:rsidR="00343E81">
          <w:rPr>
            <w:noProof/>
            <w:webHidden/>
          </w:rPr>
          <w:fldChar w:fldCharType="end"/>
        </w:r>
      </w:hyperlink>
    </w:p>
    <w:p w:rsidR="00343E81" w:rsidRDefault="009B2939">
      <w:pPr>
        <w:pStyle w:val="TOC1"/>
        <w:rPr>
          <w:rFonts w:asciiTheme="minorHAnsi" w:eastAsiaTheme="minorEastAsia" w:hAnsiTheme="minorHAnsi" w:cstheme="minorBidi"/>
          <w:noProof/>
          <w:sz w:val="22"/>
          <w:szCs w:val="22"/>
          <w:lang w:val="es-ES" w:eastAsia="es-ES"/>
        </w:rPr>
      </w:pPr>
      <w:hyperlink w:anchor="_Toc402443609" w:history="1">
        <w:r w:rsidR="00343E81" w:rsidRPr="00C678E8">
          <w:rPr>
            <w:rStyle w:val="Hyperlink"/>
            <w:noProof/>
          </w:rPr>
          <w:t>2.</w:t>
        </w:r>
        <w:r w:rsidR="00343E81">
          <w:rPr>
            <w:rFonts w:asciiTheme="minorHAnsi" w:eastAsiaTheme="minorEastAsia" w:hAnsiTheme="minorHAnsi" w:cstheme="minorBidi"/>
            <w:noProof/>
            <w:sz w:val="22"/>
            <w:szCs w:val="22"/>
            <w:lang w:val="es-ES" w:eastAsia="es-ES"/>
          </w:rPr>
          <w:tab/>
        </w:r>
        <w:r w:rsidR="00343E81" w:rsidRPr="00C678E8">
          <w:rPr>
            <w:rStyle w:val="Hyperlink"/>
            <w:noProof/>
          </w:rPr>
          <w:t>Scope</w:t>
        </w:r>
        <w:r w:rsidR="00343E81">
          <w:rPr>
            <w:noProof/>
            <w:webHidden/>
          </w:rPr>
          <w:tab/>
        </w:r>
        <w:r w:rsidR="00343E81">
          <w:rPr>
            <w:noProof/>
            <w:webHidden/>
          </w:rPr>
          <w:fldChar w:fldCharType="begin"/>
        </w:r>
        <w:r w:rsidR="00343E81">
          <w:rPr>
            <w:noProof/>
            <w:webHidden/>
          </w:rPr>
          <w:instrText xml:space="preserve"> PAGEREF _Toc402443609 \h </w:instrText>
        </w:r>
        <w:r w:rsidR="00343E81">
          <w:rPr>
            <w:noProof/>
            <w:webHidden/>
          </w:rPr>
        </w:r>
        <w:r w:rsidR="00343E81">
          <w:rPr>
            <w:noProof/>
            <w:webHidden/>
          </w:rPr>
          <w:fldChar w:fldCharType="separate"/>
        </w:r>
        <w:r w:rsidR="00343E81">
          <w:rPr>
            <w:noProof/>
            <w:webHidden/>
          </w:rPr>
          <w:t>4</w:t>
        </w:r>
        <w:r w:rsidR="00343E81">
          <w:rPr>
            <w:noProof/>
            <w:webHidden/>
          </w:rPr>
          <w:fldChar w:fldCharType="end"/>
        </w:r>
      </w:hyperlink>
    </w:p>
    <w:p w:rsidR="00343E81" w:rsidRDefault="009B2939">
      <w:pPr>
        <w:pStyle w:val="TOC2"/>
        <w:rPr>
          <w:rFonts w:asciiTheme="minorHAnsi" w:eastAsiaTheme="minorEastAsia" w:hAnsiTheme="minorHAnsi" w:cstheme="minorBidi"/>
          <w:noProof/>
          <w:sz w:val="22"/>
          <w:szCs w:val="22"/>
          <w:lang w:val="es-ES" w:eastAsia="es-ES"/>
        </w:rPr>
      </w:pPr>
      <w:hyperlink w:anchor="_Toc402443610" w:history="1">
        <w:r w:rsidR="00343E81" w:rsidRPr="00C678E8">
          <w:rPr>
            <w:rStyle w:val="Hyperlink"/>
            <w:rFonts w:eastAsia="Calibri"/>
            <w:noProof/>
          </w:rPr>
          <w:t>2.1.</w:t>
        </w:r>
        <w:r w:rsidR="00343E81">
          <w:rPr>
            <w:rFonts w:asciiTheme="minorHAnsi" w:eastAsiaTheme="minorEastAsia" w:hAnsiTheme="minorHAnsi" w:cstheme="minorBidi"/>
            <w:noProof/>
            <w:sz w:val="22"/>
            <w:szCs w:val="22"/>
            <w:lang w:val="es-ES" w:eastAsia="es-ES"/>
          </w:rPr>
          <w:tab/>
        </w:r>
        <w:r w:rsidR="00343E81" w:rsidRPr="00C678E8">
          <w:rPr>
            <w:rStyle w:val="Hyperlink"/>
            <w:rFonts w:eastAsia="Calibri"/>
            <w:noProof/>
          </w:rPr>
          <w:t>Space Heaters and Combination Heaters</w:t>
        </w:r>
        <w:r w:rsidR="00343E81">
          <w:rPr>
            <w:noProof/>
            <w:webHidden/>
          </w:rPr>
          <w:tab/>
        </w:r>
        <w:r w:rsidR="00343E81">
          <w:rPr>
            <w:noProof/>
            <w:webHidden/>
          </w:rPr>
          <w:fldChar w:fldCharType="begin"/>
        </w:r>
        <w:r w:rsidR="00343E81">
          <w:rPr>
            <w:noProof/>
            <w:webHidden/>
          </w:rPr>
          <w:instrText xml:space="preserve"> PAGEREF _Toc402443610 \h </w:instrText>
        </w:r>
        <w:r w:rsidR="00343E81">
          <w:rPr>
            <w:noProof/>
            <w:webHidden/>
          </w:rPr>
        </w:r>
        <w:r w:rsidR="00343E81">
          <w:rPr>
            <w:noProof/>
            <w:webHidden/>
          </w:rPr>
          <w:fldChar w:fldCharType="separate"/>
        </w:r>
        <w:r w:rsidR="00343E81">
          <w:rPr>
            <w:noProof/>
            <w:webHidden/>
          </w:rPr>
          <w:t>5</w:t>
        </w:r>
        <w:r w:rsidR="00343E81">
          <w:rPr>
            <w:noProof/>
            <w:webHidden/>
          </w:rPr>
          <w:fldChar w:fldCharType="end"/>
        </w:r>
      </w:hyperlink>
    </w:p>
    <w:p w:rsidR="00343E81" w:rsidRDefault="009B2939">
      <w:pPr>
        <w:pStyle w:val="TOC2"/>
        <w:rPr>
          <w:rFonts w:asciiTheme="minorHAnsi" w:eastAsiaTheme="minorEastAsia" w:hAnsiTheme="minorHAnsi" w:cstheme="minorBidi"/>
          <w:noProof/>
          <w:sz w:val="22"/>
          <w:szCs w:val="22"/>
          <w:lang w:val="es-ES" w:eastAsia="es-ES"/>
        </w:rPr>
      </w:pPr>
      <w:hyperlink w:anchor="_Toc402443611" w:history="1">
        <w:r w:rsidR="00343E81" w:rsidRPr="00C678E8">
          <w:rPr>
            <w:rStyle w:val="Hyperlink"/>
            <w:rFonts w:eastAsia="Calibri"/>
            <w:noProof/>
          </w:rPr>
          <w:t>2.2.</w:t>
        </w:r>
        <w:r w:rsidR="00343E81">
          <w:rPr>
            <w:rFonts w:asciiTheme="minorHAnsi" w:eastAsiaTheme="minorEastAsia" w:hAnsiTheme="minorHAnsi" w:cstheme="minorBidi"/>
            <w:noProof/>
            <w:sz w:val="22"/>
            <w:szCs w:val="22"/>
            <w:lang w:val="es-ES" w:eastAsia="es-ES"/>
          </w:rPr>
          <w:tab/>
        </w:r>
        <w:r w:rsidR="00343E81" w:rsidRPr="00C678E8">
          <w:rPr>
            <w:rStyle w:val="Hyperlink"/>
            <w:rFonts w:eastAsia="Calibri"/>
            <w:noProof/>
          </w:rPr>
          <w:t>Water Heaters</w:t>
        </w:r>
        <w:r w:rsidR="00343E81">
          <w:rPr>
            <w:noProof/>
            <w:webHidden/>
          </w:rPr>
          <w:tab/>
        </w:r>
        <w:r w:rsidR="00343E81">
          <w:rPr>
            <w:noProof/>
            <w:webHidden/>
          </w:rPr>
          <w:fldChar w:fldCharType="begin"/>
        </w:r>
        <w:r w:rsidR="00343E81">
          <w:rPr>
            <w:noProof/>
            <w:webHidden/>
          </w:rPr>
          <w:instrText xml:space="preserve"> PAGEREF _Toc402443611 \h </w:instrText>
        </w:r>
        <w:r w:rsidR="00343E81">
          <w:rPr>
            <w:noProof/>
            <w:webHidden/>
          </w:rPr>
        </w:r>
        <w:r w:rsidR="00343E81">
          <w:rPr>
            <w:noProof/>
            <w:webHidden/>
          </w:rPr>
          <w:fldChar w:fldCharType="separate"/>
        </w:r>
        <w:r w:rsidR="00343E81">
          <w:rPr>
            <w:noProof/>
            <w:webHidden/>
          </w:rPr>
          <w:t>5</w:t>
        </w:r>
        <w:r w:rsidR="00343E81">
          <w:rPr>
            <w:noProof/>
            <w:webHidden/>
          </w:rPr>
          <w:fldChar w:fldCharType="end"/>
        </w:r>
      </w:hyperlink>
    </w:p>
    <w:p w:rsidR="00343E81" w:rsidRDefault="009B2939">
      <w:pPr>
        <w:pStyle w:val="TOC1"/>
        <w:rPr>
          <w:rFonts w:asciiTheme="minorHAnsi" w:eastAsiaTheme="minorEastAsia" w:hAnsiTheme="minorHAnsi" w:cstheme="minorBidi"/>
          <w:noProof/>
          <w:sz w:val="22"/>
          <w:szCs w:val="22"/>
          <w:lang w:val="es-ES" w:eastAsia="es-ES"/>
        </w:rPr>
      </w:pPr>
      <w:hyperlink w:anchor="_Toc402443612" w:history="1">
        <w:r w:rsidR="00343E81" w:rsidRPr="00C678E8">
          <w:rPr>
            <w:rStyle w:val="Hyperlink"/>
            <w:noProof/>
          </w:rPr>
          <w:t>3.</w:t>
        </w:r>
        <w:r w:rsidR="00343E81">
          <w:rPr>
            <w:rFonts w:asciiTheme="minorHAnsi" w:eastAsiaTheme="minorEastAsia" w:hAnsiTheme="minorHAnsi" w:cstheme="minorBidi"/>
            <w:noProof/>
            <w:sz w:val="22"/>
            <w:szCs w:val="22"/>
            <w:lang w:val="es-ES" w:eastAsia="es-ES"/>
          </w:rPr>
          <w:tab/>
        </w:r>
        <w:r w:rsidR="00343E81" w:rsidRPr="00C678E8">
          <w:rPr>
            <w:rStyle w:val="Hyperlink"/>
            <w:noProof/>
          </w:rPr>
          <w:t>Product environmental impacts</w:t>
        </w:r>
        <w:r w:rsidR="00343E81">
          <w:rPr>
            <w:noProof/>
            <w:webHidden/>
          </w:rPr>
          <w:tab/>
        </w:r>
        <w:r w:rsidR="00343E81">
          <w:rPr>
            <w:noProof/>
            <w:webHidden/>
          </w:rPr>
          <w:fldChar w:fldCharType="begin"/>
        </w:r>
        <w:r w:rsidR="00343E81">
          <w:rPr>
            <w:noProof/>
            <w:webHidden/>
          </w:rPr>
          <w:instrText xml:space="preserve"> PAGEREF _Toc402443612 \h </w:instrText>
        </w:r>
        <w:r w:rsidR="00343E81">
          <w:rPr>
            <w:noProof/>
            <w:webHidden/>
          </w:rPr>
        </w:r>
        <w:r w:rsidR="00343E81">
          <w:rPr>
            <w:noProof/>
            <w:webHidden/>
          </w:rPr>
          <w:fldChar w:fldCharType="separate"/>
        </w:r>
        <w:r w:rsidR="00343E81">
          <w:rPr>
            <w:noProof/>
            <w:webHidden/>
          </w:rPr>
          <w:t>5</w:t>
        </w:r>
        <w:r w:rsidR="00343E81">
          <w:rPr>
            <w:noProof/>
            <w:webHidden/>
          </w:rPr>
          <w:fldChar w:fldCharType="end"/>
        </w:r>
      </w:hyperlink>
    </w:p>
    <w:p w:rsidR="00343E81" w:rsidRDefault="009B2939">
      <w:pPr>
        <w:pStyle w:val="TOC1"/>
        <w:rPr>
          <w:rFonts w:asciiTheme="minorHAnsi" w:eastAsiaTheme="minorEastAsia" w:hAnsiTheme="minorHAnsi" w:cstheme="minorBidi"/>
          <w:noProof/>
          <w:sz w:val="22"/>
          <w:szCs w:val="22"/>
          <w:lang w:val="es-ES" w:eastAsia="es-ES"/>
        </w:rPr>
      </w:pPr>
      <w:hyperlink w:anchor="_Toc402443613" w:history="1">
        <w:r w:rsidR="00343E81" w:rsidRPr="00C678E8">
          <w:rPr>
            <w:rStyle w:val="Hyperlink"/>
            <w:noProof/>
          </w:rPr>
          <w:t>4.</w:t>
        </w:r>
        <w:r w:rsidR="00343E81">
          <w:rPr>
            <w:rFonts w:asciiTheme="minorHAnsi" w:eastAsiaTheme="minorEastAsia" w:hAnsiTheme="minorHAnsi" w:cstheme="minorBidi"/>
            <w:noProof/>
            <w:sz w:val="22"/>
            <w:szCs w:val="22"/>
            <w:lang w:val="es-ES" w:eastAsia="es-ES"/>
          </w:rPr>
          <w:tab/>
        </w:r>
        <w:r w:rsidR="00343E81" w:rsidRPr="00C678E8">
          <w:rPr>
            <w:rStyle w:val="Hyperlink"/>
            <w:noProof/>
          </w:rPr>
          <w:t>State of play of legislation</w:t>
        </w:r>
        <w:r w:rsidR="00343E81">
          <w:rPr>
            <w:noProof/>
            <w:webHidden/>
          </w:rPr>
          <w:tab/>
        </w:r>
        <w:r w:rsidR="00343E81">
          <w:rPr>
            <w:noProof/>
            <w:webHidden/>
          </w:rPr>
          <w:fldChar w:fldCharType="begin"/>
        </w:r>
        <w:r w:rsidR="00343E81">
          <w:rPr>
            <w:noProof/>
            <w:webHidden/>
          </w:rPr>
          <w:instrText xml:space="preserve"> PAGEREF _Toc402443613 \h </w:instrText>
        </w:r>
        <w:r w:rsidR="00343E81">
          <w:rPr>
            <w:noProof/>
            <w:webHidden/>
          </w:rPr>
        </w:r>
        <w:r w:rsidR="00343E81">
          <w:rPr>
            <w:noProof/>
            <w:webHidden/>
          </w:rPr>
          <w:fldChar w:fldCharType="separate"/>
        </w:r>
        <w:r w:rsidR="00343E81">
          <w:rPr>
            <w:noProof/>
            <w:webHidden/>
          </w:rPr>
          <w:t>6</w:t>
        </w:r>
        <w:r w:rsidR="00343E81">
          <w:rPr>
            <w:noProof/>
            <w:webHidden/>
          </w:rPr>
          <w:fldChar w:fldCharType="end"/>
        </w:r>
      </w:hyperlink>
    </w:p>
    <w:p w:rsidR="00343E81" w:rsidRDefault="009B2939">
      <w:pPr>
        <w:pStyle w:val="TOC2"/>
        <w:rPr>
          <w:rFonts w:asciiTheme="minorHAnsi" w:eastAsiaTheme="minorEastAsia" w:hAnsiTheme="minorHAnsi" w:cstheme="minorBidi"/>
          <w:noProof/>
          <w:sz w:val="22"/>
          <w:szCs w:val="22"/>
          <w:lang w:val="es-ES" w:eastAsia="es-ES"/>
        </w:rPr>
      </w:pPr>
      <w:hyperlink w:anchor="_Toc402443614" w:history="1">
        <w:r w:rsidR="00343E81" w:rsidRPr="00C678E8">
          <w:rPr>
            <w:rStyle w:val="Hyperlink"/>
            <w:noProof/>
          </w:rPr>
          <w:t>4.1.</w:t>
        </w:r>
        <w:r w:rsidR="00343E81">
          <w:rPr>
            <w:rFonts w:asciiTheme="minorHAnsi" w:eastAsiaTheme="minorEastAsia" w:hAnsiTheme="minorHAnsi" w:cstheme="minorBidi"/>
            <w:noProof/>
            <w:sz w:val="22"/>
            <w:szCs w:val="22"/>
            <w:lang w:val="es-ES" w:eastAsia="es-ES"/>
          </w:rPr>
          <w:tab/>
        </w:r>
        <w:r w:rsidR="00343E81" w:rsidRPr="00C678E8">
          <w:rPr>
            <w:rStyle w:val="Hyperlink"/>
            <w:noProof/>
          </w:rPr>
          <w:t>History of product legislation to date</w:t>
        </w:r>
        <w:r w:rsidR="00343E81">
          <w:rPr>
            <w:noProof/>
            <w:webHidden/>
          </w:rPr>
          <w:tab/>
        </w:r>
        <w:r w:rsidR="00343E81">
          <w:rPr>
            <w:noProof/>
            <w:webHidden/>
          </w:rPr>
          <w:fldChar w:fldCharType="begin"/>
        </w:r>
        <w:r w:rsidR="00343E81">
          <w:rPr>
            <w:noProof/>
            <w:webHidden/>
          </w:rPr>
          <w:instrText xml:space="preserve"> PAGEREF _Toc402443614 \h </w:instrText>
        </w:r>
        <w:r w:rsidR="00343E81">
          <w:rPr>
            <w:noProof/>
            <w:webHidden/>
          </w:rPr>
        </w:r>
        <w:r w:rsidR="00343E81">
          <w:rPr>
            <w:noProof/>
            <w:webHidden/>
          </w:rPr>
          <w:fldChar w:fldCharType="separate"/>
        </w:r>
        <w:r w:rsidR="00343E81">
          <w:rPr>
            <w:noProof/>
            <w:webHidden/>
          </w:rPr>
          <w:t>6</w:t>
        </w:r>
        <w:r w:rsidR="00343E81">
          <w:rPr>
            <w:noProof/>
            <w:webHidden/>
          </w:rPr>
          <w:fldChar w:fldCharType="end"/>
        </w:r>
      </w:hyperlink>
    </w:p>
    <w:p w:rsidR="00343E81" w:rsidRDefault="009B2939">
      <w:pPr>
        <w:pStyle w:val="TOC2"/>
        <w:rPr>
          <w:rFonts w:asciiTheme="minorHAnsi" w:eastAsiaTheme="minorEastAsia" w:hAnsiTheme="minorHAnsi" w:cstheme="minorBidi"/>
          <w:noProof/>
          <w:sz w:val="22"/>
          <w:szCs w:val="22"/>
          <w:lang w:val="es-ES" w:eastAsia="es-ES"/>
        </w:rPr>
      </w:pPr>
      <w:hyperlink w:anchor="_Toc402443615" w:history="1">
        <w:r w:rsidR="00343E81" w:rsidRPr="00C678E8">
          <w:rPr>
            <w:rStyle w:val="Hyperlink"/>
            <w:noProof/>
          </w:rPr>
          <w:t>4.2.</w:t>
        </w:r>
        <w:r w:rsidR="00343E81">
          <w:rPr>
            <w:rFonts w:asciiTheme="minorHAnsi" w:eastAsiaTheme="minorEastAsia" w:hAnsiTheme="minorHAnsi" w:cstheme="minorBidi"/>
            <w:noProof/>
            <w:sz w:val="22"/>
            <w:szCs w:val="22"/>
            <w:lang w:val="es-ES" w:eastAsia="es-ES"/>
          </w:rPr>
          <w:tab/>
        </w:r>
        <w:r w:rsidR="00343E81" w:rsidRPr="00C678E8">
          <w:rPr>
            <w:rStyle w:val="Hyperlink"/>
            <w:noProof/>
          </w:rPr>
          <w:t>Timetable</w:t>
        </w:r>
        <w:r w:rsidR="00343E81">
          <w:rPr>
            <w:noProof/>
            <w:webHidden/>
          </w:rPr>
          <w:tab/>
        </w:r>
        <w:r w:rsidR="00343E81">
          <w:rPr>
            <w:noProof/>
            <w:webHidden/>
          </w:rPr>
          <w:fldChar w:fldCharType="begin"/>
        </w:r>
        <w:r w:rsidR="00343E81">
          <w:rPr>
            <w:noProof/>
            <w:webHidden/>
          </w:rPr>
          <w:instrText xml:space="preserve"> PAGEREF _Toc402443615 \h </w:instrText>
        </w:r>
        <w:r w:rsidR="00343E81">
          <w:rPr>
            <w:noProof/>
            <w:webHidden/>
          </w:rPr>
        </w:r>
        <w:r w:rsidR="00343E81">
          <w:rPr>
            <w:noProof/>
            <w:webHidden/>
          </w:rPr>
          <w:fldChar w:fldCharType="separate"/>
        </w:r>
        <w:r w:rsidR="00343E81">
          <w:rPr>
            <w:noProof/>
            <w:webHidden/>
          </w:rPr>
          <w:t>6</w:t>
        </w:r>
        <w:r w:rsidR="00343E81">
          <w:rPr>
            <w:noProof/>
            <w:webHidden/>
          </w:rPr>
          <w:fldChar w:fldCharType="end"/>
        </w:r>
      </w:hyperlink>
    </w:p>
    <w:p w:rsidR="00343E81" w:rsidRDefault="009B2939">
      <w:pPr>
        <w:pStyle w:val="TOC2"/>
        <w:rPr>
          <w:rFonts w:asciiTheme="minorHAnsi" w:eastAsiaTheme="minorEastAsia" w:hAnsiTheme="minorHAnsi" w:cstheme="minorBidi"/>
          <w:noProof/>
          <w:sz w:val="22"/>
          <w:szCs w:val="22"/>
          <w:lang w:val="es-ES" w:eastAsia="es-ES"/>
        </w:rPr>
      </w:pPr>
      <w:hyperlink w:anchor="_Toc402443616" w:history="1">
        <w:r w:rsidR="00343E81" w:rsidRPr="00C678E8">
          <w:rPr>
            <w:rStyle w:val="Hyperlink"/>
            <w:noProof/>
          </w:rPr>
          <w:t>4.3.</w:t>
        </w:r>
        <w:r w:rsidR="00343E81">
          <w:rPr>
            <w:rFonts w:asciiTheme="minorHAnsi" w:eastAsiaTheme="minorEastAsia" w:hAnsiTheme="minorHAnsi" w:cstheme="minorBidi"/>
            <w:noProof/>
            <w:sz w:val="22"/>
            <w:szCs w:val="22"/>
            <w:lang w:val="es-ES" w:eastAsia="es-ES"/>
          </w:rPr>
          <w:tab/>
        </w:r>
        <w:r w:rsidR="00343E81" w:rsidRPr="00C678E8">
          <w:rPr>
            <w:rStyle w:val="Hyperlink"/>
            <w:noProof/>
          </w:rPr>
          <w:t>Review</w:t>
        </w:r>
        <w:r w:rsidR="00343E81">
          <w:rPr>
            <w:noProof/>
            <w:webHidden/>
          </w:rPr>
          <w:tab/>
        </w:r>
        <w:r w:rsidR="00343E81">
          <w:rPr>
            <w:noProof/>
            <w:webHidden/>
          </w:rPr>
          <w:fldChar w:fldCharType="begin"/>
        </w:r>
        <w:r w:rsidR="00343E81">
          <w:rPr>
            <w:noProof/>
            <w:webHidden/>
          </w:rPr>
          <w:instrText xml:space="preserve"> PAGEREF _Toc402443616 \h </w:instrText>
        </w:r>
        <w:r w:rsidR="00343E81">
          <w:rPr>
            <w:noProof/>
            <w:webHidden/>
          </w:rPr>
        </w:r>
        <w:r w:rsidR="00343E81">
          <w:rPr>
            <w:noProof/>
            <w:webHidden/>
          </w:rPr>
          <w:fldChar w:fldCharType="separate"/>
        </w:r>
        <w:r w:rsidR="00343E81">
          <w:rPr>
            <w:noProof/>
            <w:webHidden/>
          </w:rPr>
          <w:t>7</w:t>
        </w:r>
        <w:r w:rsidR="00343E81">
          <w:rPr>
            <w:noProof/>
            <w:webHidden/>
          </w:rPr>
          <w:fldChar w:fldCharType="end"/>
        </w:r>
      </w:hyperlink>
    </w:p>
    <w:p w:rsidR="00343E81" w:rsidRDefault="009B2939">
      <w:pPr>
        <w:pStyle w:val="TOC1"/>
        <w:rPr>
          <w:rFonts w:asciiTheme="minorHAnsi" w:eastAsiaTheme="minorEastAsia" w:hAnsiTheme="minorHAnsi" w:cstheme="minorBidi"/>
          <w:noProof/>
          <w:sz w:val="22"/>
          <w:szCs w:val="22"/>
          <w:lang w:val="es-ES" w:eastAsia="es-ES"/>
        </w:rPr>
      </w:pPr>
      <w:hyperlink w:anchor="_Toc402443617" w:history="1">
        <w:r w:rsidR="00343E81" w:rsidRPr="00C678E8">
          <w:rPr>
            <w:rStyle w:val="Hyperlink"/>
            <w:noProof/>
          </w:rPr>
          <w:t>5.</w:t>
        </w:r>
        <w:r w:rsidR="00343E81">
          <w:rPr>
            <w:rFonts w:asciiTheme="minorHAnsi" w:eastAsiaTheme="minorEastAsia" w:hAnsiTheme="minorHAnsi" w:cstheme="minorBidi"/>
            <w:noProof/>
            <w:sz w:val="22"/>
            <w:szCs w:val="22"/>
            <w:lang w:val="es-ES" w:eastAsia="es-ES"/>
          </w:rPr>
          <w:tab/>
        </w:r>
        <w:r w:rsidR="00343E81" w:rsidRPr="00C678E8">
          <w:rPr>
            <w:rStyle w:val="Hyperlink"/>
            <w:noProof/>
          </w:rPr>
          <w:t>Key requirements</w:t>
        </w:r>
        <w:r w:rsidR="00343E81">
          <w:rPr>
            <w:noProof/>
            <w:webHidden/>
          </w:rPr>
          <w:tab/>
        </w:r>
        <w:r w:rsidR="00343E81">
          <w:rPr>
            <w:noProof/>
            <w:webHidden/>
          </w:rPr>
          <w:fldChar w:fldCharType="begin"/>
        </w:r>
        <w:r w:rsidR="00343E81">
          <w:rPr>
            <w:noProof/>
            <w:webHidden/>
          </w:rPr>
          <w:instrText xml:space="preserve"> PAGEREF _Toc402443617 \h </w:instrText>
        </w:r>
        <w:r w:rsidR="00343E81">
          <w:rPr>
            <w:noProof/>
            <w:webHidden/>
          </w:rPr>
        </w:r>
        <w:r w:rsidR="00343E81">
          <w:rPr>
            <w:noProof/>
            <w:webHidden/>
          </w:rPr>
          <w:fldChar w:fldCharType="separate"/>
        </w:r>
        <w:r w:rsidR="00343E81">
          <w:rPr>
            <w:noProof/>
            <w:webHidden/>
          </w:rPr>
          <w:t>7</w:t>
        </w:r>
        <w:r w:rsidR="00343E81">
          <w:rPr>
            <w:noProof/>
            <w:webHidden/>
          </w:rPr>
          <w:fldChar w:fldCharType="end"/>
        </w:r>
      </w:hyperlink>
    </w:p>
    <w:p w:rsidR="00343E81" w:rsidRDefault="009B2939">
      <w:pPr>
        <w:pStyle w:val="TOC2"/>
        <w:rPr>
          <w:rFonts w:asciiTheme="minorHAnsi" w:eastAsiaTheme="minorEastAsia" w:hAnsiTheme="minorHAnsi" w:cstheme="minorBidi"/>
          <w:noProof/>
          <w:sz w:val="22"/>
          <w:szCs w:val="22"/>
          <w:lang w:val="es-ES" w:eastAsia="es-ES"/>
        </w:rPr>
      </w:pPr>
      <w:hyperlink w:anchor="_Toc402443618" w:history="1">
        <w:r w:rsidR="00343E81" w:rsidRPr="00C678E8">
          <w:rPr>
            <w:rStyle w:val="Hyperlink"/>
            <w:noProof/>
          </w:rPr>
          <w:t>5.1.</w:t>
        </w:r>
        <w:r w:rsidR="00343E81">
          <w:rPr>
            <w:rFonts w:asciiTheme="minorHAnsi" w:eastAsiaTheme="minorEastAsia" w:hAnsiTheme="minorHAnsi" w:cstheme="minorBidi"/>
            <w:noProof/>
            <w:sz w:val="22"/>
            <w:szCs w:val="22"/>
            <w:lang w:val="es-ES" w:eastAsia="es-ES"/>
          </w:rPr>
          <w:tab/>
        </w:r>
        <w:r w:rsidR="00343E81" w:rsidRPr="00C678E8">
          <w:rPr>
            <w:rStyle w:val="Hyperlink"/>
            <w:noProof/>
          </w:rPr>
          <w:t>Labelling requirements for single products</w:t>
        </w:r>
        <w:r w:rsidR="00343E81">
          <w:rPr>
            <w:noProof/>
            <w:webHidden/>
          </w:rPr>
          <w:tab/>
        </w:r>
        <w:r w:rsidR="00343E81">
          <w:rPr>
            <w:noProof/>
            <w:webHidden/>
          </w:rPr>
          <w:fldChar w:fldCharType="begin"/>
        </w:r>
        <w:r w:rsidR="00343E81">
          <w:rPr>
            <w:noProof/>
            <w:webHidden/>
          </w:rPr>
          <w:instrText xml:space="preserve"> PAGEREF _Toc402443618 \h </w:instrText>
        </w:r>
        <w:r w:rsidR="00343E81">
          <w:rPr>
            <w:noProof/>
            <w:webHidden/>
          </w:rPr>
        </w:r>
        <w:r w:rsidR="00343E81">
          <w:rPr>
            <w:noProof/>
            <w:webHidden/>
          </w:rPr>
          <w:fldChar w:fldCharType="separate"/>
        </w:r>
        <w:r w:rsidR="00343E81">
          <w:rPr>
            <w:noProof/>
            <w:webHidden/>
          </w:rPr>
          <w:t>9</w:t>
        </w:r>
        <w:r w:rsidR="00343E81">
          <w:rPr>
            <w:noProof/>
            <w:webHidden/>
          </w:rPr>
          <w:fldChar w:fldCharType="end"/>
        </w:r>
      </w:hyperlink>
    </w:p>
    <w:p w:rsidR="00343E81" w:rsidRDefault="009B2939">
      <w:pPr>
        <w:pStyle w:val="TOC2"/>
        <w:rPr>
          <w:rFonts w:asciiTheme="minorHAnsi" w:eastAsiaTheme="minorEastAsia" w:hAnsiTheme="minorHAnsi" w:cstheme="minorBidi"/>
          <w:noProof/>
          <w:sz w:val="22"/>
          <w:szCs w:val="22"/>
          <w:lang w:val="es-ES" w:eastAsia="es-ES"/>
        </w:rPr>
      </w:pPr>
      <w:hyperlink w:anchor="_Toc402443619" w:history="1">
        <w:r w:rsidR="00343E81" w:rsidRPr="00C678E8">
          <w:rPr>
            <w:rStyle w:val="Hyperlink"/>
            <w:noProof/>
          </w:rPr>
          <w:t>5.2.</w:t>
        </w:r>
        <w:r w:rsidR="00343E81">
          <w:rPr>
            <w:rFonts w:asciiTheme="minorHAnsi" w:eastAsiaTheme="minorEastAsia" w:hAnsiTheme="minorHAnsi" w:cstheme="minorBidi"/>
            <w:noProof/>
            <w:sz w:val="22"/>
            <w:szCs w:val="22"/>
            <w:lang w:val="es-ES" w:eastAsia="es-ES"/>
          </w:rPr>
          <w:tab/>
        </w:r>
        <w:r w:rsidR="00343E81" w:rsidRPr="00C678E8">
          <w:rPr>
            <w:rStyle w:val="Hyperlink"/>
            <w:noProof/>
          </w:rPr>
          <w:t>Labelling requirements for packages</w:t>
        </w:r>
        <w:r w:rsidR="00343E81">
          <w:rPr>
            <w:noProof/>
            <w:webHidden/>
          </w:rPr>
          <w:tab/>
        </w:r>
        <w:r w:rsidR="00343E81">
          <w:rPr>
            <w:noProof/>
            <w:webHidden/>
          </w:rPr>
          <w:fldChar w:fldCharType="begin"/>
        </w:r>
        <w:r w:rsidR="00343E81">
          <w:rPr>
            <w:noProof/>
            <w:webHidden/>
          </w:rPr>
          <w:instrText xml:space="preserve"> PAGEREF _Toc402443619 \h </w:instrText>
        </w:r>
        <w:r w:rsidR="00343E81">
          <w:rPr>
            <w:noProof/>
            <w:webHidden/>
          </w:rPr>
        </w:r>
        <w:r w:rsidR="00343E81">
          <w:rPr>
            <w:noProof/>
            <w:webHidden/>
          </w:rPr>
          <w:fldChar w:fldCharType="separate"/>
        </w:r>
        <w:r w:rsidR="00343E81">
          <w:rPr>
            <w:noProof/>
            <w:webHidden/>
          </w:rPr>
          <w:t>10</w:t>
        </w:r>
        <w:r w:rsidR="00343E81">
          <w:rPr>
            <w:noProof/>
            <w:webHidden/>
          </w:rPr>
          <w:fldChar w:fldCharType="end"/>
        </w:r>
      </w:hyperlink>
    </w:p>
    <w:p w:rsidR="00343E81" w:rsidRDefault="009B2939">
      <w:pPr>
        <w:pStyle w:val="TOC2"/>
        <w:rPr>
          <w:rFonts w:asciiTheme="minorHAnsi" w:eastAsiaTheme="minorEastAsia" w:hAnsiTheme="minorHAnsi" w:cstheme="minorBidi"/>
          <w:noProof/>
          <w:sz w:val="22"/>
          <w:szCs w:val="22"/>
          <w:lang w:val="es-ES" w:eastAsia="es-ES"/>
        </w:rPr>
      </w:pPr>
      <w:hyperlink w:anchor="_Toc402443620" w:history="1">
        <w:r w:rsidR="00343E81" w:rsidRPr="00C678E8">
          <w:rPr>
            <w:rStyle w:val="Hyperlink"/>
            <w:noProof/>
          </w:rPr>
          <w:t>5.3.</w:t>
        </w:r>
        <w:r w:rsidR="00343E81">
          <w:rPr>
            <w:rFonts w:asciiTheme="minorHAnsi" w:eastAsiaTheme="minorEastAsia" w:hAnsiTheme="minorHAnsi" w:cstheme="minorBidi"/>
            <w:noProof/>
            <w:sz w:val="22"/>
            <w:szCs w:val="22"/>
            <w:lang w:val="es-ES" w:eastAsia="es-ES"/>
          </w:rPr>
          <w:tab/>
        </w:r>
        <w:r w:rsidR="00343E81" w:rsidRPr="00C678E8">
          <w:rPr>
            <w:rStyle w:val="Hyperlink"/>
            <w:noProof/>
          </w:rPr>
          <w:t>Packages where not all information is available</w:t>
        </w:r>
        <w:r w:rsidR="00343E81">
          <w:rPr>
            <w:noProof/>
            <w:webHidden/>
          </w:rPr>
          <w:tab/>
        </w:r>
        <w:r w:rsidR="00343E81">
          <w:rPr>
            <w:noProof/>
            <w:webHidden/>
          </w:rPr>
          <w:fldChar w:fldCharType="begin"/>
        </w:r>
        <w:r w:rsidR="00343E81">
          <w:rPr>
            <w:noProof/>
            <w:webHidden/>
          </w:rPr>
          <w:instrText xml:space="preserve"> PAGEREF _Toc402443620 \h </w:instrText>
        </w:r>
        <w:r w:rsidR="00343E81">
          <w:rPr>
            <w:noProof/>
            <w:webHidden/>
          </w:rPr>
        </w:r>
        <w:r w:rsidR="00343E81">
          <w:rPr>
            <w:noProof/>
            <w:webHidden/>
          </w:rPr>
          <w:fldChar w:fldCharType="separate"/>
        </w:r>
        <w:r w:rsidR="00343E81">
          <w:rPr>
            <w:noProof/>
            <w:webHidden/>
          </w:rPr>
          <w:t>20</w:t>
        </w:r>
        <w:r w:rsidR="00343E81">
          <w:rPr>
            <w:noProof/>
            <w:webHidden/>
          </w:rPr>
          <w:fldChar w:fldCharType="end"/>
        </w:r>
      </w:hyperlink>
    </w:p>
    <w:p w:rsidR="00343E81" w:rsidRDefault="009B2939">
      <w:pPr>
        <w:pStyle w:val="TOC1"/>
        <w:rPr>
          <w:rFonts w:asciiTheme="minorHAnsi" w:eastAsiaTheme="minorEastAsia" w:hAnsiTheme="minorHAnsi" w:cstheme="minorBidi"/>
          <w:noProof/>
          <w:sz w:val="22"/>
          <w:szCs w:val="22"/>
          <w:lang w:val="es-ES" w:eastAsia="es-ES"/>
        </w:rPr>
      </w:pPr>
      <w:hyperlink w:anchor="_Toc402443621" w:history="1">
        <w:r w:rsidR="00343E81" w:rsidRPr="00C678E8">
          <w:rPr>
            <w:rStyle w:val="Hyperlink"/>
            <w:noProof/>
          </w:rPr>
          <w:t>6.</w:t>
        </w:r>
        <w:r w:rsidR="00343E81">
          <w:rPr>
            <w:rFonts w:asciiTheme="minorHAnsi" w:eastAsiaTheme="minorEastAsia" w:hAnsiTheme="minorHAnsi" w:cstheme="minorBidi"/>
            <w:noProof/>
            <w:sz w:val="22"/>
            <w:szCs w:val="22"/>
            <w:lang w:val="es-ES" w:eastAsia="es-ES"/>
          </w:rPr>
          <w:tab/>
        </w:r>
        <w:r w:rsidR="00343E81" w:rsidRPr="00C678E8">
          <w:rPr>
            <w:rStyle w:val="Hyperlink"/>
            <w:noProof/>
          </w:rPr>
          <w:t>Frequently Asked Questions</w:t>
        </w:r>
        <w:r w:rsidR="00343E81">
          <w:rPr>
            <w:noProof/>
            <w:webHidden/>
          </w:rPr>
          <w:tab/>
        </w:r>
        <w:r w:rsidR="00343E81">
          <w:rPr>
            <w:noProof/>
            <w:webHidden/>
          </w:rPr>
          <w:fldChar w:fldCharType="begin"/>
        </w:r>
        <w:r w:rsidR="00343E81">
          <w:rPr>
            <w:noProof/>
            <w:webHidden/>
          </w:rPr>
          <w:instrText xml:space="preserve"> PAGEREF _Toc402443621 \h </w:instrText>
        </w:r>
        <w:r w:rsidR="00343E81">
          <w:rPr>
            <w:noProof/>
            <w:webHidden/>
          </w:rPr>
        </w:r>
        <w:r w:rsidR="00343E81">
          <w:rPr>
            <w:noProof/>
            <w:webHidden/>
          </w:rPr>
          <w:fldChar w:fldCharType="separate"/>
        </w:r>
        <w:r w:rsidR="00343E81">
          <w:rPr>
            <w:noProof/>
            <w:webHidden/>
          </w:rPr>
          <w:t>21</w:t>
        </w:r>
        <w:r w:rsidR="00343E81">
          <w:rPr>
            <w:noProof/>
            <w:webHidden/>
          </w:rPr>
          <w:fldChar w:fldCharType="end"/>
        </w:r>
      </w:hyperlink>
    </w:p>
    <w:p w:rsidR="00394457" w:rsidRPr="0035590A" w:rsidRDefault="00394457" w:rsidP="007615C4">
      <w:pPr>
        <w:sectPr w:rsidR="00394457" w:rsidRPr="0035590A" w:rsidSect="00566DCA">
          <w:headerReference w:type="even" r:id="rId10"/>
          <w:headerReference w:type="default" r:id="rId11"/>
          <w:footerReference w:type="even" r:id="rId12"/>
          <w:footerReference w:type="default" r:id="rId13"/>
          <w:headerReference w:type="first" r:id="rId14"/>
          <w:footerReference w:type="first" r:id="rId15"/>
          <w:pgSz w:w="11907" w:h="16839" w:code="9"/>
          <w:pgMar w:top="1134" w:right="1418" w:bottom="1134" w:left="1418" w:header="709" w:footer="709" w:gutter="0"/>
          <w:pgNumType w:start="2"/>
          <w:cols w:space="720"/>
          <w:docGrid w:linePitch="326"/>
        </w:sectPr>
      </w:pPr>
      <w:r>
        <w:rPr>
          <w:noProof/>
        </w:rPr>
        <w:fldChar w:fldCharType="end"/>
      </w:r>
    </w:p>
    <w:p w:rsidR="00287E6F" w:rsidRDefault="00287E6F" w:rsidP="007615C4">
      <w:pPr>
        <w:pStyle w:val="Heading1"/>
        <w:numPr>
          <w:ilvl w:val="0"/>
          <w:numId w:val="7"/>
        </w:numPr>
        <w:tabs>
          <w:tab w:val="clear" w:pos="850"/>
          <w:tab w:val="num" w:pos="802"/>
        </w:tabs>
        <w:rPr>
          <w:noProof/>
        </w:rPr>
      </w:pPr>
      <w:bookmarkStart w:id="3" w:name="_Toc402443607"/>
      <w:r>
        <w:rPr>
          <w:noProof/>
        </w:rPr>
        <w:lastRenderedPageBreak/>
        <w:t xml:space="preserve">Purpose of the guidelines and </w:t>
      </w:r>
      <w:r w:rsidR="00704DD0">
        <w:rPr>
          <w:noProof/>
        </w:rPr>
        <w:t>d</w:t>
      </w:r>
      <w:r>
        <w:rPr>
          <w:noProof/>
        </w:rPr>
        <w:t>isclaimer</w:t>
      </w:r>
      <w:bookmarkEnd w:id="0"/>
      <w:bookmarkEnd w:id="1"/>
      <w:bookmarkEnd w:id="2"/>
      <w:bookmarkEnd w:id="3"/>
    </w:p>
    <w:p w:rsidR="006677CA" w:rsidRDefault="00273513" w:rsidP="006677CA">
      <w:r>
        <w:t xml:space="preserve">The Ecodesign and Energy Labelling regulations for </w:t>
      </w:r>
      <w:r w:rsidR="005A757E">
        <w:t>space heaters and water heaters</w:t>
      </w:r>
      <w:r>
        <w:t xml:space="preserve"> were published</w:t>
      </w:r>
      <w:r w:rsidRPr="002D1511">
        <w:t xml:space="preserve"> </w:t>
      </w:r>
      <w:r>
        <w:t xml:space="preserve">in 2013. The </w:t>
      </w:r>
      <w:r w:rsidR="003E3578">
        <w:t>r</w:t>
      </w:r>
      <w:r>
        <w:t xml:space="preserve">egulations establish minimum requirements and an energy labelling scheme for the products in </w:t>
      </w:r>
      <w:r w:rsidR="00A561D0">
        <w:t xml:space="preserve">their </w:t>
      </w:r>
      <w:r>
        <w:t>scope. Th</w:t>
      </w:r>
      <w:r w:rsidR="000C42E9">
        <w:t xml:space="preserve">ese guidelines aim to help </w:t>
      </w:r>
      <w:r w:rsidR="004A562F">
        <w:t>relevant stakeholders</w:t>
      </w:r>
      <w:r w:rsidR="000C42E9">
        <w:t xml:space="preserve">, including industry and public authorities, to </w:t>
      </w:r>
      <w:r w:rsidR="004A562F">
        <w:t xml:space="preserve">implement </w:t>
      </w:r>
      <w:r w:rsidR="000C42E9">
        <w:t>the Regulation</w:t>
      </w:r>
      <w:r w:rsidR="00A561D0">
        <w:t>s</w:t>
      </w:r>
      <w:r w:rsidR="000C42E9">
        <w:t xml:space="preserve"> in practice. They </w:t>
      </w:r>
      <w:r>
        <w:t>summarise the most relevant information from the regulations to give SMEs an introduction to the subject matter and answ</w:t>
      </w:r>
      <w:r w:rsidR="000C42E9">
        <w:t>er the most common questions.</w:t>
      </w:r>
    </w:p>
    <w:p w:rsidR="00273513" w:rsidRDefault="00273513" w:rsidP="007615C4">
      <w:r>
        <w:t>The guidelines are intended to be used only for facilitating the implementation of the Regulation</w:t>
      </w:r>
      <w:r w:rsidR="00A561D0">
        <w:t>s</w:t>
      </w:r>
      <w:r>
        <w:t>. They are not intended to replace the Regulation</w:t>
      </w:r>
      <w:r w:rsidR="00A561D0">
        <w:t>s</w:t>
      </w:r>
      <w:r>
        <w:t xml:space="preserve"> or to provide “interpretation” beyond </w:t>
      </w:r>
      <w:r w:rsidR="004347CC">
        <w:t>their</w:t>
      </w:r>
      <w:r>
        <w:t xml:space="preserve"> intent. The guidelines </w:t>
      </w:r>
      <w:r w:rsidRPr="00273513">
        <w:t xml:space="preserve">only reflect the opinion of the Commission services and are not legally binding. A finally binding legal interpretation of EU legislation may only be provided by the European Court of Justice. The </w:t>
      </w:r>
      <w:r>
        <w:t>guidelines</w:t>
      </w:r>
      <w:r w:rsidRPr="00273513">
        <w:t xml:space="preserve"> are without prejudice to the position the Commission might take should </w:t>
      </w:r>
      <w:r w:rsidR="00D16A2D">
        <w:t>an</w:t>
      </w:r>
      <w:r w:rsidRPr="00273513">
        <w:t xml:space="preserve"> issue arise in a procedure before the </w:t>
      </w:r>
      <w:r w:rsidR="004A562F">
        <w:t xml:space="preserve">European </w:t>
      </w:r>
      <w:r w:rsidRPr="00273513">
        <w:t>Court of Justice.</w:t>
      </w:r>
    </w:p>
    <w:p w:rsidR="00273513" w:rsidRDefault="00273513" w:rsidP="007615C4">
      <w:pPr>
        <w:pStyle w:val="Heading2"/>
      </w:pPr>
      <w:bookmarkStart w:id="4" w:name="_Toc402443608"/>
      <w:r>
        <w:t xml:space="preserve">The </w:t>
      </w:r>
      <w:r w:rsidR="005A70B8">
        <w:t>R</w:t>
      </w:r>
      <w:r>
        <w:t>egulations</w:t>
      </w:r>
      <w:bookmarkEnd w:id="4"/>
    </w:p>
    <w:p w:rsidR="00273513" w:rsidRPr="0074693C" w:rsidRDefault="00273513" w:rsidP="007615C4">
      <w:r w:rsidRPr="0074693C">
        <w:t xml:space="preserve">The Commission has published the following </w:t>
      </w:r>
      <w:r>
        <w:t xml:space="preserve">regulations concerning </w:t>
      </w:r>
      <w:r w:rsidR="005A757E">
        <w:t>space and water heaters</w:t>
      </w:r>
      <w:r w:rsidRPr="0074693C">
        <w:t>:</w:t>
      </w:r>
    </w:p>
    <w:p w:rsidR="005A757E" w:rsidRPr="00AE097D" w:rsidRDefault="005A757E" w:rsidP="00687707">
      <w:pPr>
        <w:numPr>
          <w:ilvl w:val="0"/>
          <w:numId w:val="18"/>
        </w:numPr>
      </w:pPr>
      <w:r w:rsidRPr="00AE097D">
        <w:t>Commission Delegated Regulation (EU) No 811/2013 of 18 February 2013 supplementing Directive 2010/30/EU with regard to energy labelling of space heaters, combination heaters, packages of space heater, temperature control and solar device and packages of combination heater, temperature control and solar device</w:t>
      </w:r>
      <w:r w:rsidR="00203084">
        <w:rPr>
          <w:rStyle w:val="FootnoteReference"/>
        </w:rPr>
        <w:footnoteReference w:id="1"/>
      </w:r>
      <w:r w:rsidRPr="00AE097D">
        <w:t>;</w:t>
      </w:r>
    </w:p>
    <w:p w:rsidR="005A757E" w:rsidRPr="00AE097D" w:rsidRDefault="005A757E" w:rsidP="00687707">
      <w:pPr>
        <w:numPr>
          <w:ilvl w:val="0"/>
          <w:numId w:val="18"/>
        </w:numPr>
      </w:pPr>
      <w:r w:rsidRPr="00AE097D">
        <w:t>Commission Delegated Regulation (EU) No 812/2013 of 18 February 2013 supplementing Directive 2010/30/EU with regard to energy labelling of water heaters, hot water storage tanks and packages of water heater and solar device</w:t>
      </w:r>
      <w:r w:rsidR="00203084">
        <w:rPr>
          <w:rStyle w:val="FootnoteReference"/>
        </w:rPr>
        <w:footnoteReference w:id="2"/>
      </w:r>
      <w:r w:rsidRPr="00AE097D">
        <w:t>;</w:t>
      </w:r>
    </w:p>
    <w:p w:rsidR="005A757E" w:rsidRPr="00AE097D" w:rsidRDefault="005A757E" w:rsidP="00687707">
      <w:pPr>
        <w:numPr>
          <w:ilvl w:val="0"/>
          <w:numId w:val="18"/>
        </w:numPr>
      </w:pPr>
      <w:r w:rsidRPr="00AE097D">
        <w:t>Commission Regulation (EU) No 813/2013 of 2 August 2013 implementing Directive 2009/125/EC with regard to ecodesign requirements for space heaters and combination heaters;</w:t>
      </w:r>
    </w:p>
    <w:p w:rsidR="005A757E" w:rsidRPr="00AE097D" w:rsidRDefault="005A757E" w:rsidP="00687707">
      <w:pPr>
        <w:numPr>
          <w:ilvl w:val="0"/>
          <w:numId w:val="18"/>
        </w:numPr>
      </w:pPr>
      <w:r w:rsidRPr="00AE097D">
        <w:t>Commission Regulation (EU) No 814/2013 of 2 August 2013 implementing Directive 2009/125/EC with regard to ecodesign requirements for water heaters and hot water storage tanks</w:t>
      </w:r>
      <w:r w:rsidR="00203084">
        <w:rPr>
          <w:rStyle w:val="FootnoteReference"/>
        </w:rPr>
        <w:footnoteReference w:id="3"/>
      </w:r>
      <w:r w:rsidRPr="00AE097D">
        <w:t>;</w:t>
      </w:r>
    </w:p>
    <w:p w:rsidR="00273513" w:rsidRPr="00AE097D" w:rsidRDefault="009B2939" w:rsidP="00687707">
      <w:pPr>
        <w:numPr>
          <w:ilvl w:val="0"/>
          <w:numId w:val="18"/>
        </w:numPr>
      </w:pPr>
      <w:hyperlink r:id="rId16" w:history="1">
        <w:r w:rsidR="00273513" w:rsidRPr="00AE097D">
          <w:t>Commission Delegated Regulation (EU) No 518/2014 of 5 March 2014 amending Commission Delegated Regulations (EU) No 1059/2010, (EU) No 1060/2010, (EU) No 1061/2010, (EU) No 1062/2010, (EU) No 626/2011, (EU) No 392/2012, (EU) No 874/2012, (EU) No 665/2013, (EU) No 811/2013 and (EU) No 812/2013 with regard to labelling of energy-related products on the internet</w:t>
        </w:r>
      </w:hyperlink>
      <w:r w:rsidR="00203084">
        <w:rPr>
          <w:rStyle w:val="FootnoteReference"/>
        </w:rPr>
        <w:footnoteReference w:id="4"/>
      </w:r>
      <w:r w:rsidR="005A757E" w:rsidRPr="00AE097D">
        <w:t>.</w:t>
      </w:r>
    </w:p>
    <w:p w:rsidR="00273513" w:rsidRDefault="00273513" w:rsidP="007615C4">
      <w:pPr>
        <w:pStyle w:val="Heading1"/>
        <w:keepNext w:val="0"/>
        <w:tabs>
          <w:tab w:val="clear" w:pos="850"/>
        </w:tabs>
        <w:spacing w:after="240" w:line="300" w:lineRule="atLeast"/>
        <w:ind w:left="567" w:hanging="567"/>
        <w:contextualSpacing/>
      </w:pPr>
      <w:bookmarkStart w:id="5" w:name="_Toc387303935"/>
      <w:bookmarkStart w:id="6" w:name="_Toc402443609"/>
      <w:r>
        <w:t>Scope</w:t>
      </w:r>
      <w:bookmarkEnd w:id="5"/>
      <w:bookmarkEnd w:id="6"/>
    </w:p>
    <w:p w:rsidR="00FA4D22" w:rsidRPr="00FA4D22" w:rsidRDefault="00FA4D22" w:rsidP="00FA4D22">
      <w:pPr>
        <w:pStyle w:val="Heading2"/>
        <w:rPr>
          <w:rFonts w:eastAsia="Calibri"/>
        </w:rPr>
      </w:pPr>
      <w:bookmarkStart w:id="7" w:name="_Toc385484864"/>
      <w:bookmarkStart w:id="8" w:name="_Toc402443610"/>
      <w:bookmarkStart w:id="9" w:name="_Toc387303936"/>
      <w:r w:rsidRPr="00FA4D22">
        <w:rPr>
          <w:rFonts w:eastAsia="Calibri"/>
        </w:rPr>
        <w:lastRenderedPageBreak/>
        <w:t>Space Heaters and Combination Heaters</w:t>
      </w:r>
      <w:bookmarkEnd w:id="7"/>
      <w:bookmarkEnd w:id="8"/>
    </w:p>
    <w:p w:rsidR="00FA4D22" w:rsidRDefault="00D44BB2" w:rsidP="00FA4D22">
      <w:r>
        <w:t>The scope of the Ecodesign and Energy Labelling Regulations on space and combination heaters is different. While the Ecodesign Regulation covers products with a rated output up to 400 kW, the Energy Labelling Regulation covers products with a rated output up to 70 kW.</w:t>
      </w:r>
    </w:p>
    <w:p w:rsidR="00D44BB2" w:rsidRDefault="00D44BB2" w:rsidP="00FA4D22">
      <w:r>
        <w:t>In both cases, heaters designed for using gaseous or liquid fuels from biomass are excluded. Heaters usin</w:t>
      </w:r>
      <w:r w:rsidR="001A3BD1">
        <w:t xml:space="preserve">g solid fuels are also </w:t>
      </w:r>
      <w:proofErr w:type="gramStart"/>
      <w:r w:rsidR="001A3BD1">
        <w:t>excluded,</w:t>
      </w:r>
      <w:proofErr w:type="gramEnd"/>
      <w:r w:rsidR="001A3BD1">
        <w:t xml:space="preserve"> these </w:t>
      </w:r>
      <w:r w:rsidR="009B2939">
        <w:t>will be</w:t>
      </w:r>
      <w:bookmarkStart w:id="10" w:name="_GoBack"/>
      <w:bookmarkEnd w:id="10"/>
      <w:r w:rsidR="001A3BD1">
        <w:t xml:space="preserve"> covered by separate Ecodesing and Energy Labelling measures.</w:t>
      </w:r>
    </w:p>
    <w:p w:rsidR="00D44BB2" w:rsidRPr="00FA4D22" w:rsidRDefault="00D44BB2" w:rsidP="00FA4D22">
      <w:pPr>
        <w:rPr>
          <w:rFonts w:eastAsia="Calibri"/>
        </w:rPr>
      </w:pPr>
      <w:r>
        <w:t>The heaters covered by the Regulations can be classified as follows:</w:t>
      </w:r>
    </w:p>
    <w:p w:rsidR="00FA4D22" w:rsidRPr="00AE097D" w:rsidRDefault="00FA4D22" w:rsidP="00687707">
      <w:pPr>
        <w:numPr>
          <w:ilvl w:val="0"/>
          <w:numId w:val="18"/>
        </w:numPr>
      </w:pPr>
      <w:r w:rsidRPr="00AE097D">
        <w:t>Space heaters (other than heat pumps)</w:t>
      </w:r>
      <w:r w:rsidR="00AE097D">
        <w:t>;</w:t>
      </w:r>
    </w:p>
    <w:p w:rsidR="00FA4D22" w:rsidRPr="00AE097D" w:rsidRDefault="00FA4D22" w:rsidP="00687707">
      <w:pPr>
        <w:numPr>
          <w:ilvl w:val="0"/>
          <w:numId w:val="18"/>
        </w:numPr>
      </w:pPr>
      <w:r w:rsidRPr="00AE097D">
        <w:t>Heat pump space heaters</w:t>
      </w:r>
      <w:r w:rsidR="00AE097D">
        <w:t>;</w:t>
      </w:r>
    </w:p>
    <w:p w:rsidR="00FA4D22" w:rsidRPr="00AE097D" w:rsidRDefault="00FA4D22" w:rsidP="00687707">
      <w:pPr>
        <w:numPr>
          <w:ilvl w:val="0"/>
          <w:numId w:val="18"/>
        </w:numPr>
      </w:pPr>
      <w:r w:rsidRPr="00AE097D">
        <w:t>Heat pump space heaters with fuel driven combustion unit</w:t>
      </w:r>
      <w:r w:rsidR="00AE097D">
        <w:t>;</w:t>
      </w:r>
    </w:p>
    <w:p w:rsidR="00FA4D22" w:rsidRPr="00AE097D" w:rsidRDefault="00FA4D22" w:rsidP="00687707">
      <w:pPr>
        <w:numPr>
          <w:ilvl w:val="0"/>
          <w:numId w:val="18"/>
        </w:numPr>
      </w:pPr>
      <w:r w:rsidRPr="00AE097D">
        <w:t>Combination heaters (other than heat pumps)</w:t>
      </w:r>
      <w:r w:rsidR="00AE097D">
        <w:t>;</w:t>
      </w:r>
    </w:p>
    <w:p w:rsidR="00FA4D22" w:rsidRPr="00AE097D" w:rsidRDefault="00FA4D22" w:rsidP="00687707">
      <w:pPr>
        <w:numPr>
          <w:ilvl w:val="0"/>
          <w:numId w:val="18"/>
        </w:numPr>
      </w:pPr>
      <w:r w:rsidRPr="00AE097D">
        <w:t>Heat pump combination heaters</w:t>
      </w:r>
      <w:r w:rsidR="00AE097D">
        <w:t>;</w:t>
      </w:r>
    </w:p>
    <w:p w:rsidR="00FA4D22" w:rsidRPr="00AE097D" w:rsidRDefault="00FA4D22" w:rsidP="00687707">
      <w:pPr>
        <w:numPr>
          <w:ilvl w:val="0"/>
          <w:numId w:val="18"/>
        </w:numPr>
      </w:pPr>
      <w:r w:rsidRPr="00AE097D">
        <w:t>Heat pump combination heaters with fuel driven combustion unit</w:t>
      </w:r>
      <w:r w:rsidR="00AE097D">
        <w:t>.</w:t>
      </w:r>
    </w:p>
    <w:p w:rsidR="00FA4D22" w:rsidRPr="00FA4D22" w:rsidRDefault="00FA4D22" w:rsidP="00FA4D22">
      <w:pPr>
        <w:pStyle w:val="Heading2"/>
        <w:rPr>
          <w:rFonts w:eastAsia="Calibri"/>
        </w:rPr>
      </w:pPr>
      <w:bookmarkStart w:id="11" w:name="_Toc385484865"/>
      <w:bookmarkStart w:id="12" w:name="_Toc402443611"/>
      <w:r w:rsidRPr="00FA4D22">
        <w:rPr>
          <w:rFonts w:eastAsia="Calibri"/>
        </w:rPr>
        <w:t>Water Heaters</w:t>
      </w:r>
      <w:bookmarkEnd w:id="11"/>
      <w:bookmarkEnd w:id="12"/>
    </w:p>
    <w:p w:rsidR="00D25ABB" w:rsidRDefault="00D25ABB" w:rsidP="00FA4D22">
      <w:r>
        <w:t>Regarding Ecodesig</w:t>
      </w:r>
      <w:r w:rsidR="00A561D0">
        <w:t>n</w:t>
      </w:r>
      <w:r>
        <w:t xml:space="preserve"> and Energy Labelling of water heaters and hot water storage tanks, the scope also differs between the two Regulations. Ecodesing covers water heaters with a rated output equal or below 400 kW and storage tanks with a storage volume up to 2000 litres while the limit values are 70 kW and 500 litres for Energy Labelling respectively.</w:t>
      </w:r>
    </w:p>
    <w:p w:rsidR="00D25ABB" w:rsidRDefault="00D25ABB" w:rsidP="00FA4D22">
      <w:r>
        <w:t xml:space="preserve">As </w:t>
      </w:r>
      <w:r w:rsidR="00387232">
        <w:t>for s</w:t>
      </w:r>
      <w:r>
        <w:t>pace heaters</w:t>
      </w:r>
      <w:r w:rsidR="00A561D0">
        <w:t>,</w:t>
      </w:r>
      <w:r>
        <w:t xml:space="preserve"> products using gaseous or liquid fuels from biomass or solid fuels are excluded from the scope.</w:t>
      </w:r>
    </w:p>
    <w:p w:rsidR="00FA4D22" w:rsidRPr="00FA4D22" w:rsidRDefault="00D25ABB" w:rsidP="00FA4D22">
      <w:pPr>
        <w:rPr>
          <w:rFonts w:eastAsia="Calibri"/>
        </w:rPr>
      </w:pPr>
      <w:r>
        <w:t>The products covered can be classified as follows:</w:t>
      </w:r>
    </w:p>
    <w:p w:rsidR="00FA4D22" w:rsidRPr="00AE097D" w:rsidRDefault="00FA4D22" w:rsidP="00687707">
      <w:pPr>
        <w:numPr>
          <w:ilvl w:val="0"/>
          <w:numId w:val="18"/>
        </w:numPr>
      </w:pPr>
      <w:r w:rsidRPr="00AE097D">
        <w:t>Water heaters (other than heat pumps)</w:t>
      </w:r>
      <w:r w:rsidR="00AE097D">
        <w:t>;</w:t>
      </w:r>
    </w:p>
    <w:p w:rsidR="00FA4D22" w:rsidRPr="00AE097D" w:rsidRDefault="00FA4D22" w:rsidP="00687707">
      <w:pPr>
        <w:numPr>
          <w:ilvl w:val="0"/>
          <w:numId w:val="18"/>
        </w:numPr>
      </w:pPr>
      <w:r w:rsidRPr="00AE097D">
        <w:t>Storage Water Heaters (other than heat pumps)</w:t>
      </w:r>
      <w:r w:rsidR="00AE097D">
        <w:t>;</w:t>
      </w:r>
    </w:p>
    <w:p w:rsidR="00FA4D22" w:rsidRPr="00AE097D" w:rsidRDefault="00FA4D22" w:rsidP="00687707">
      <w:pPr>
        <w:numPr>
          <w:ilvl w:val="0"/>
          <w:numId w:val="18"/>
        </w:numPr>
      </w:pPr>
      <w:r w:rsidRPr="00AE097D">
        <w:t>Heat pump Water heaters</w:t>
      </w:r>
      <w:r w:rsidR="00AE097D">
        <w:t>;</w:t>
      </w:r>
    </w:p>
    <w:p w:rsidR="00FA4D22" w:rsidRPr="00AE097D" w:rsidRDefault="00FA4D22" w:rsidP="00687707">
      <w:pPr>
        <w:numPr>
          <w:ilvl w:val="0"/>
          <w:numId w:val="18"/>
        </w:numPr>
      </w:pPr>
      <w:r w:rsidRPr="00AE097D">
        <w:t>Heat Pump Storage Water Heaters</w:t>
      </w:r>
      <w:r w:rsidR="00AE097D">
        <w:t>;</w:t>
      </w:r>
    </w:p>
    <w:p w:rsidR="00FA4D22" w:rsidRPr="00AE097D" w:rsidRDefault="00FA4D22" w:rsidP="00687707">
      <w:pPr>
        <w:numPr>
          <w:ilvl w:val="0"/>
          <w:numId w:val="18"/>
        </w:numPr>
      </w:pPr>
      <w:r w:rsidRPr="00AE097D">
        <w:t>Heat pump Water heaters with fuel driven combustion unit</w:t>
      </w:r>
      <w:r w:rsidR="00AE097D">
        <w:t>;</w:t>
      </w:r>
    </w:p>
    <w:p w:rsidR="00FA4D22" w:rsidRPr="00AE097D" w:rsidRDefault="00FA4D22" w:rsidP="00687707">
      <w:pPr>
        <w:numPr>
          <w:ilvl w:val="0"/>
          <w:numId w:val="18"/>
        </w:numPr>
      </w:pPr>
      <w:r w:rsidRPr="00AE097D">
        <w:t>Heat Pump Storage Water Heaters with fuel driven combustion unit</w:t>
      </w:r>
      <w:r w:rsidR="00AE097D">
        <w:t>;</w:t>
      </w:r>
    </w:p>
    <w:p w:rsidR="00FA4D22" w:rsidRPr="00AE097D" w:rsidRDefault="00FA4D22" w:rsidP="00687707">
      <w:pPr>
        <w:numPr>
          <w:ilvl w:val="0"/>
          <w:numId w:val="18"/>
        </w:numPr>
      </w:pPr>
      <w:r w:rsidRPr="00AE097D">
        <w:t>Hot Water Storage Tanks</w:t>
      </w:r>
      <w:r w:rsidR="00AE097D">
        <w:t>.</w:t>
      </w:r>
    </w:p>
    <w:p w:rsidR="00FA4D22" w:rsidRPr="0015605F" w:rsidRDefault="00FA4D22" w:rsidP="00851C69">
      <w:pPr>
        <w:pStyle w:val="Heading1"/>
      </w:pPr>
      <w:bookmarkStart w:id="13" w:name="_Toc385484866"/>
      <w:bookmarkStart w:id="14" w:name="_Toc402443612"/>
      <w:bookmarkEnd w:id="9"/>
      <w:r w:rsidRPr="0015605F">
        <w:t>Product environmental impacts</w:t>
      </w:r>
      <w:bookmarkEnd w:id="13"/>
      <w:bookmarkEnd w:id="14"/>
    </w:p>
    <w:p w:rsidR="00FA4D22" w:rsidRPr="0015605F" w:rsidRDefault="00FA4D22" w:rsidP="00FA4D22">
      <w:r>
        <w:t>T</w:t>
      </w:r>
      <w:r w:rsidRPr="0015605F">
        <w:t xml:space="preserve">he preparatory study </w:t>
      </w:r>
      <w:r>
        <w:t xml:space="preserve">identified and analysed </w:t>
      </w:r>
      <w:r w:rsidRPr="0015605F">
        <w:t xml:space="preserve">the relevant environmental impacts of heaters and water heaters. The use phase of the product has been clearly identified as the </w:t>
      </w:r>
      <w:r>
        <w:t xml:space="preserve">most important </w:t>
      </w:r>
      <w:r w:rsidR="004347CC">
        <w:t>phase</w:t>
      </w:r>
      <w:r>
        <w:t xml:space="preserve"> in terms of both </w:t>
      </w:r>
      <w:r w:rsidRPr="0015605F">
        <w:t xml:space="preserve">environmental impacts </w:t>
      </w:r>
      <w:r>
        <w:t xml:space="preserve">and having </w:t>
      </w:r>
      <w:r w:rsidRPr="0015605F">
        <w:t xml:space="preserve">the most </w:t>
      </w:r>
      <w:r>
        <w:t xml:space="preserve">potential for </w:t>
      </w:r>
      <w:r w:rsidRPr="0015605F">
        <w:t xml:space="preserve">improvement. Therefore no specific </w:t>
      </w:r>
      <w:r w:rsidR="004347CC">
        <w:t>requirements</w:t>
      </w:r>
      <w:r w:rsidRPr="0015605F">
        <w:t xml:space="preserve"> considering production, transport or end of life </w:t>
      </w:r>
      <w:r w:rsidR="004347CC">
        <w:t>were proposed</w:t>
      </w:r>
      <w:r>
        <w:t xml:space="preserve"> and the </w:t>
      </w:r>
      <w:r w:rsidRPr="0015605F">
        <w:t>regulatory measures focus on the use phase</w:t>
      </w:r>
      <w:r w:rsidR="00F21FAC">
        <w:t xml:space="preserve"> and, for ecodesign also on the end-of-life phase</w:t>
      </w:r>
      <w:r w:rsidRPr="0015605F">
        <w:t xml:space="preserve">. </w:t>
      </w:r>
    </w:p>
    <w:p w:rsidR="00FA4D22" w:rsidRPr="004D7A0F" w:rsidRDefault="00FA4D22" w:rsidP="00FA4D22">
      <w:r w:rsidRPr="0015605F">
        <w:lastRenderedPageBreak/>
        <w:t xml:space="preserve">As for </w:t>
      </w:r>
      <w:r w:rsidRPr="004D7A0F">
        <w:t>most of the products subject to ecodesign regulation, the primary energy consumption during the use phase is the source of the primary impact via the (direct and indirect) carbon emissions.</w:t>
      </w:r>
    </w:p>
    <w:p w:rsidR="00FA4D22" w:rsidRPr="004D7A0F" w:rsidRDefault="00FA4D22" w:rsidP="00FA4D22">
      <w:r w:rsidRPr="004D7A0F">
        <w:t>Emissions from the combustion of fuel (e.g. NO</w:t>
      </w:r>
      <w:r w:rsidRPr="004D7A0F">
        <w:rPr>
          <w:vertAlign w:val="subscript"/>
        </w:rPr>
        <w:t>x</w:t>
      </w:r>
      <w:r w:rsidRPr="004D7A0F">
        <w:t>, SO</w:t>
      </w:r>
      <w:r w:rsidRPr="004D7A0F">
        <w:rPr>
          <w:vertAlign w:val="subscript"/>
        </w:rPr>
        <w:t>2</w:t>
      </w:r>
      <w:r w:rsidRPr="004D7A0F">
        <w:t xml:space="preserve">) are also relevant for all heaters and water heaters with a burner. Electric heaters do not directly produce emissions of this kind, so they are not regulated </w:t>
      </w:r>
      <w:r w:rsidR="00231974">
        <w:t>for</w:t>
      </w:r>
      <w:r w:rsidR="00231974" w:rsidRPr="004D7A0F">
        <w:t xml:space="preserve"> </w:t>
      </w:r>
      <w:r w:rsidRPr="004D7A0F">
        <w:t>them.</w:t>
      </w:r>
    </w:p>
    <w:p w:rsidR="00FA4D22" w:rsidRPr="0015605F" w:rsidRDefault="00FA4D22" w:rsidP="00FA4D22">
      <w:r>
        <w:t xml:space="preserve">In addition to the air </w:t>
      </w:r>
      <w:r w:rsidRPr="0015605F">
        <w:t xml:space="preserve">pollutants, </w:t>
      </w:r>
      <w:r>
        <w:t xml:space="preserve">noise </w:t>
      </w:r>
      <w:r w:rsidRPr="0015605F">
        <w:t xml:space="preserve">is another relevant environmental impact </w:t>
      </w:r>
      <w:r w:rsidR="00D25ABB">
        <w:t>f</w:t>
      </w:r>
      <w:r>
        <w:t xml:space="preserve">or </w:t>
      </w:r>
      <w:r w:rsidRPr="0015605F">
        <w:t>heat pumps</w:t>
      </w:r>
      <w:r>
        <w:t>.</w:t>
      </w:r>
    </w:p>
    <w:p w:rsidR="00FA4D22" w:rsidRDefault="00FA4D22" w:rsidP="00FA4D22">
      <w:r>
        <w:t xml:space="preserve">There are other </w:t>
      </w:r>
      <w:r w:rsidRPr="0015605F">
        <w:t xml:space="preserve">environmental impacts </w:t>
      </w:r>
      <w:r>
        <w:t>associated with the</w:t>
      </w:r>
      <w:r w:rsidR="004347CC">
        <w:t>se</w:t>
      </w:r>
      <w:r>
        <w:t xml:space="preserve"> products, such as the </w:t>
      </w:r>
      <w:r w:rsidRPr="0015605F">
        <w:t>use of refrigerants in heat pumps</w:t>
      </w:r>
      <w:r>
        <w:t xml:space="preserve">. These impacts </w:t>
      </w:r>
      <w:r w:rsidR="00D25ABB">
        <w:t>can be</w:t>
      </w:r>
      <w:r>
        <w:t xml:space="preserve"> subject to other existing legislation</w:t>
      </w:r>
      <w:r w:rsidRPr="0015605F">
        <w:t>.</w:t>
      </w:r>
    </w:p>
    <w:p w:rsidR="00FA4D22" w:rsidRPr="0015605F" w:rsidRDefault="00FA4D22" w:rsidP="00FA4D22">
      <w:pPr>
        <w:pStyle w:val="Heading1"/>
        <w:keepNext w:val="0"/>
        <w:tabs>
          <w:tab w:val="clear" w:pos="850"/>
        </w:tabs>
        <w:spacing w:after="240" w:line="300" w:lineRule="atLeast"/>
        <w:ind w:left="567" w:hanging="567"/>
        <w:contextualSpacing/>
        <w:jc w:val="left"/>
      </w:pPr>
      <w:bookmarkStart w:id="15" w:name="1"/>
      <w:bookmarkStart w:id="16" w:name="_Toc385484867"/>
      <w:bookmarkStart w:id="17" w:name="_Toc402443613"/>
      <w:bookmarkEnd w:id="15"/>
      <w:r w:rsidRPr="0015605F">
        <w:t>State of play of legislation</w:t>
      </w:r>
      <w:bookmarkEnd w:id="16"/>
      <w:bookmarkEnd w:id="17"/>
    </w:p>
    <w:p w:rsidR="00FA4D22" w:rsidRPr="0015605F" w:rsidRDefault="00FA4D22" w:rsidP="00851C69">
      <w:pPr>
        <w:pStyle w:val="Heading2"/>
      </w:pPr>
      <w:bookmarkStart w:id="18" w:name="_Toc372979411"/>
      <w:bookmarkStart w:id="19" w:name="_Toc372979454"/>
      <w:bookmarkStart w:id="20" w:name="_Toc385484868"/>
      <w:bookmarkStart w:id="21" w:name="_Toc402443614"/>
      <w:r w:rsidRPr="0015605F">
        <w:t xml:space="preserve">History of </w:t>
      </w:r>
      <w:r w:rsidRPr="00851C69">
        <w:t>product</w:t>
      </w:r>
      <w:r w:rsidRPr="0015605F">
        <w:t xml:space="preserve"> legislation to date</w:t>
      </w:r>
      <w:bookmarkEnd w:id="18"/>
      <w:bookmarkEnd w:id="19"/>
      <w:bookmarkEnd w:id="20"/>
      <w:bookmarkEnd w:id="21"/>
    </w:p>
    <w:p w:rsidR="004347CC" w:rsidRPr="0015605F" w:rsidRDefault="004347CC" w:rsidP="004347CC">
      <w:r>
        <w:t>From the start of the</w:t>
      </w:r>
      <w:r w:rsidRPr="0015605F">
        <w:t xml:space="preserve"> preparatory study, the first formal step in the ecodesign process, in 2006</w:t>
      </w:r>
      <w:r>
        <w:t xml:space="preserve"> until the publication of t</w:t>
      </w:r>
      <w:r w:rsidRPr="0015605F">
        <w:t xml:space="preserve">he implementing </w:t>
      </w:r>
      <w:r>
        <w:t>acts</w:t>
      </w:r>
      <w:r w:rsidRPr="0015605F">
        <w:t xml:space="preserve"> in late 2013</w:t>
      </w:r>
      <w:r>
        <w:t>, the ecodesign process for heaters and water heaters lasted eight years, mainly due to</w:t>
      </w:r>
      <w:r w:rsidRPr="0015605F">
        <w:t xml:space="preserve"> </w:t>
      </w:r>
      <w:r>
        <w:t>the complexity of the Regulations which cover products using different technologies and fuels.</w:t>
      </w:r>
    </w:p>
    <w:p w:rsidR="00FA4D22" w:rsidRDefault="009B0856" w:rsidP="00851C69">
      <w:pPr>
        <w:pStyle w:val="Heading2"/>
      </w:pPr>
      <w:bookmarkStart w:id="22" w:name="_Toc402443615"/>
      <w:r>
        <w:t>Timetable</w:t>
      </w:r>
      <w:bookmarkEnd w:id="22"/>
    </w:p>
    <w:p w:rsidR="009B0856" w:rsidRDefault="00CE7ECA" w:rsidP="00CE7ECA">
      <w:pPr>
        <w:numPr>
          <w:ilvl w:val="0"/>
          <w:numId w:val="22"/>
        </w:numPr>
      </w:pPr>
      <w:r>
        <w:rPr>
          <w:b/>
        </w:rPr>
        <w:t xml:space="preserve">26 September 2013. </w:t>
      </w:r>
      <w:r>
        <w:t>Publication of the Regulations.</w:t>
      </w:r>
    </w:p>
    <w:p w:rsidR="00CE7ECA" w:rsidRDefault="00CE7ECA" w:rsidP="00CE7ECA">
      <w:pPr>
        <w:numPr>
          <w:ilvl w:val="0"/>
          <w:numId w:val="22"/>
        </w:numPr>
      </w:pPr>
      <w:r>
        <w:rPr>
          <w:b/>
        </w:rPr>
        <w:t>26 September 2015.</w:t>
      </w:r>
      <w:r>
        <w:t xml:space="preserve"> Tier 1 requirements regarding energy efficiency come into force for space and water heaters. Energy Labelling comes into force with a scale of A</w:t>
      </w:r>
      <w:r w:rsidRPr="00CE7ECA">
        <w:rPr>
          <w:vertAlign w:val="superscript"/>
        </w:rPr>
        <w:t>++</w:t>
      </w:r>
      <w:r>
        <w:t xml:space="preserve"> to G for space heaters and A to G for water heaters.</w:t>
      </w:r>
    </w:p>
    <w:p w:rsidR="00CE7ECA" w:rsidRDefault="00CE7ECA" w:rsidP="00CE7ECA">
      <w:pPr>
        <w:numPr>
          <w:ilvl w:val="0"/>
          <w:numId w:val="22"/>
        </w:numPr>
      </w:pPr>
      <w:r>
        <w:rPr>
          <w:b/>
        </w:rPr>
        <w:t>26 September 2016.</w:t>
      </w:r>
      <w:r>
        <w:t xml:space="preserve"> Specific review to analyse the possibility of setting different requirements for different types of water heaters.</w:t>
      </w:r>
    </w:p>
    <w:p w:rsidR="00CE7ECA" w:rsidRDefault="00CE7ECA" w:rsidP="00CE7ECA">
      <w:pPr>
        <w:numPr>
          <w:ilvl w:val="0"/>
          <w:numId w:val="22"/>
        </w:numPr>
      </w:pPr>
      <w:r>
        <w:rPr>
          <w:b/>
        </w:rPr>
        <w:t>26 September 2017.</w:t>
      </w:r>
      <w:r>
        <w:t xml:space="preserve"> Second tier requirements regarding energy efficiency come into force. The Energy Labelling scale for water heaters is updated to A</w:t>
      </w:r>
      <w:r w:rsidRPr="00CE7ECA">
        <w:rPr>
          <w:vertAlign w:val="superscript"/>
        </w:rPr>
        <w:t>+</w:t>
      </w:r>
      <w:r>
        <w:t xml:space="preserve"> to F.</w:t>
      </w:r>
    </w:p>
    <w:p w:rsidR="00CE7ECA" w:rsidRDefault="00CE7ECA" w:rsidP="00CE7ECA">
      <w:pPr>
        <w:numPr>
          <w:ilvl w:val="0"/>
          <w:numId w:val="22"/>
        </w:numPr>
      </w:pPr>
      <w:r>
        <w:rPr>
          <w:b/>
        </w:rPr>
        <w:t>26 September 2018</w:t>
      </w:r>
      <w:r>
        <w:t>. Requirements regarding emissions of NO</w:t>
      </w:r>
      <w:r w:rsidRPr="00CE7ECA">
        <w:rPr>
          <w:vertAlign w:val="subscript"/>
        </w:rPr>
        <w:t>x</w:t>
      </w:r>
      <w:r>
        <w:t xml:space="preserve"> come into force. Tier 3 requirements regarding the energy efficiency of water heaters start to apply. A review of the Regulations is to be presented.</w:t>
      </w:r>
    </w:p>
    <w:p w:rsidR="00CE7ECA" w:rsidRPr="009B0856" w:rsidRDefault="00CE7ECA" w:rsidP="00CE7ECA">
      <w:pPr>
        <w:numPr>
          <w:ilvl w:val="0"/>
          <w:numId w:val="22"/>
        </w:numPr>
      </w:pPr>
      <w:r>
        <w:rPr>
          <w:b/>
        </w:rPr>
        <w:t>26 September 2019</w:t>
      </w:r>
      <w:r w:rsidRPr="00CE7ECA">
        <w:t>.</w:t>
      </w:r>
      <w:r>
        <w:t xml:space="preserve"> The Energy Labelling scale for space heaters is updated to A</w:t>
      </w:r>
      <w:r w:rsidRPr="00CE7ECA">
        <w:rPr>
          <w:vertAlign w:val="superscript"/>
        </w:rPr>
        <w:t>+++</w:t>
      </w:r>
      <w:r>
        <w:t xml:space="preserve"> to D.</w:t>
      </w:r>
    </w:p>
    <w:p w:rsidR="00FA4D22" w:rsidRPr="0015605F" w:rsidRDefault="006F0EEC" w:rsidP="00FA4D22">
      <w:r>
        <w:t xml:space="preserve">In addition, </w:t>
      </w:r>
      <w:r w:rsidR="009F38D8">
        <w:t xml:space="preserve">Article 8 of the </w:t>
      </w:r>
      <w:r>
        <w:t>Ecodesign r</w:t>
      </w:r>
      <w:r w:rsidR="009F38D8">
        <w:t xml:space="preserve">egulation establishes that </w:t>
      </w:r>
      <w:r w:rsidR="00FA4D22">
        <w:t>M</w:t>
      </w:r>
      <w:r w:rsidR="00FA4D22" w:rsidRPr="0015605F">
        <w:t xml:space="preserve">ember </w:t>
      </w:r>
      <w:r w:rsidR="00FA4D22">
        <w:t>S</w:t>
      </w:r>
      <w:r w:rsidR="00FA4D22" w:rsidRPr="0015605F">
        <w:t xml:space="preserve">tates may allow the placing on the market and/or putting into service of heaters </w:t>
      </w:r>
      <w:r>
        <w:t xml:space="preserve">and water heaters </w:t>
      </w:r>
      <w:r w:rsidR="00FA4D22" w:rsidRPr="0015605F">
        <w:t xml:space="preserve">which </w:t>
      </w:r>
      <w:r w:rsidR="00231974">
        <w:t xml:space="preserve">comply </w:t>
      </w:r>
      <w:r w:rsidR="00FA4D22">
        <w:t xml:space="preserve">with </w:t>
      </w:r>
      <w:r w:rsidR="00FA4D22" w:rsidRPr="0015605F">
        <w:t>the national provisions in force when th</w:t>
      </w:r>
      <w:r w:rsidR="009F38D8">
        <w:t>e</w:t>
      </w:r>
      <w:r w:rsidR="00FA4D22" w:rsidRPr="0015605F">
        <w:t xml:space="preserve"> Regulation </w:t>
      </w:r>
      <w:r w:rsidR="009F38D8">
        <w:t>was</w:t>
      </w:r>
      <w:r w:rsidR="00FA4D22" w:rsidRPr="0015605F">
        <w:t xml:space="preserve"> adopted regarding seasonal space heating energy efficiency, water heating energy efficiency and sound power level. The deadline for this </w:t>
      </w:r>
      <w:r w:rsidR="009F38D8">
        <w:t>provision is 26 September 2015.</w:t>
      </w:r>
    </w:p>
    <w:p w:rsidR="00FA4D22" w:rsidRDefault="00FA4D22" w:rsidP="00FA4D22">
      <w:r w:rsidRPr="0015605F">
        <w:t>Furthermore</w:t>
      </w:r>
      <w:r w:rsidR="005D2179">
        <w:t>,</w:t>
      </w:r>
      <w:r w:rsidRPr="0015605F">
        <w:t xml:space="preserve"> placing on the market and/or putting into service of heaters</w:t>
      </w:r>
      <w:r w:rsidR="006F0EEC">
        <w:t xml:space="preserve"> and water heaters</w:t>
      </w:r>
      <w:r w:rsidRPr="0015605F">
        <w:t xml:space="preserve">, which </w:t>
      </w:r>
      <w:r w:rsidR="00231974">
        <w:t>comply with</w:t>
      </w:r>
      <w:r>
        <w:t xml:space="preserve"> </w:t>
      </w:r>
      <w:r w:rsidRPr="0015605F">
        <w:t xml:space="preserve">the national provisions in force when this Regulation </w:t>
      </w:r>
      <w:r w:rsidR="009F38D8">
        <w:t>was</w:t>
      </w:r>
      <w:r w:rsidRPr="0015605F">
        <w:t xml:space="preserve"> adopted regarding emissions of nitrogen oxides may be allowed until 26 September 2018.</w:t>
      </w:r>
    </w:p>
    <w:p w:rsidR="00FA4D22" w:rsidRPr="0015605F" w:rsidRDefault="009D7780" w:rsidP="00851C69">
      <w:pPr>
        <w:pStyle w:val="Heading2"/>
      </w:pPr>
      <w:bookmarkStart w:id="23" w:name="_Toc402443616"/>
      <w:r>
        <w:lastRenderedPageBreak/>
        <w:t>Review</w:t>
      </w:r>
      <w:bookmarkEnd w:id="23"/>
    </w:p>
    <w:p w:rsidR="00FA4D22" w:rsidRDefault="009D7780" w:rsidP="00851C69">
      <w:r>
        <w:t>A review of the four R</w:t>
      </w:r>
      <w:r w:rsidR="00AE097D">
        <w:t>egulations is foreseen in 2018.</w:t>
      </w:r>
    </w:p>
    <w:p w:rsidR="00AE097D" w:rsidRDefault="00AE097D" w:rsidP="00851C69">
      <w:r>
        <w:t>The review of the Ecodesign Regulations shall assess:</w:t>
      </w:r>
    </w:p>
    <w:p w:rsidR="009D7780" w:rsidRDefault="009D7780" w:rsidP="00687707">
      <w:pPr>
        <w:numPr>
          <w:ilvl w:val="0"/>
          <w:numId w:val="18"/>
        </w:numPr>
      </w:pPr>
      <w:r>
        <w:t>The appropriateness of setting ecodesign requirements for greenhouse gas emissions related to refrigerants;</w:t>
      </w:r>
    </w:p>
    <w:p w:rsidR="009D7780" w:rsidRDefault="009D7780" w:rsidP="00687707">
      <w:pPr>
        <w:numPr>
          <w:ilvl w:val="0"/>
          <w:numId w:val="18"/>
        </w:numPr>
      </w:pPr>
      <w:r>
        <w:t>The level of the ecodesign requirements for emissions of carbon monoxide, hydrocarbons and particulate matter that may be introduced;</w:t>
      </w:r>
    </w:p>
    <w:p w:rsidR="009D7780" w:rsidRDefault="009D7780" w:rsidP="00687707">
      <w:pPr>
        <w:numPr>
          <w:ilvl w:val="0"/>
          <w:numId w:val="18"/>
        </w:numPr>
      </w:pPr>
      <w:r>
        <w:t>The appropriateness of setting ecodesign requirements for heaters specifically designed for using gaseous fuels or liquid fuels predominantly produced from biomass;</w:t>
      </w:r>
    </w:p>
    <w:p w:rsidR="009D7780" w:rsidRDefault="009D7780" w:rsidP="00687707">
      <w:pPr>
        <w:numPr>
          <w:ilvl w:val="0"/>
          <w:numId w:val="18"/>
        </w:numPr>
      </w:pPr>
      <w:r>
        <w:t>The validity of the conversion coefficient value;</w:t>
      </w:r>
    </w:p>
    <w:p w:rsidR="009D7780" w:rsidRDefault="009D7780" w:rsidP="00687707">
      <w:pPr>
        <w:numPr>
          <w:ilvl w:val="0"/>
          <w:numId w:val="18"/>
        </w:numPr>
      </w:pPr>
      <w:r>
        <w:t>The appropriateness of introducing third party certification</w:t>
      </w:r>
      <w:r w:rsidR="005D2179">
        <w:t>.</w:t>
      </w:r>
    </w:p>
    <w:p w:rsidR="009D7780" w:rsidRDefault="009D7780" w:rsidP="009D7780">
      <w:r>
        <w:t xml:space="preserve">In addition, before </w:t>
      </w:r>
      <w:r w:rsidR="00AD19A0">
        <w:t xml:space="preserve">September </w:t>
      </w:r>
      <w:r>
        <w:t>2016 the appropriateness of setting separate ecodesign requirements for different types of water heaters shall be evaluated.</w:t>
      </w:r>
    </w:p>
    <w:p w:rsidR="009D7780" w:rsidRDefault="009D7780" w:rsidP="009D7780">
      <w:r>
        <w:t>Regarding Energy Labelling, the following aspects need to be evaluated:</w:t>
      </w:r>
    </w:p>
    <w:p w:rsidR="009D7780" w:rsidRDefault="009D7780" w:rsidP="00687707">
      <w:pPr>
        <w:numPr>
          <w:ilvl w:val="0"/>
          <w:numId w:val="19"/>
        </w:numPr>
      </w:pPr>
      <w:r>
        <w:t>Any significant change in the market share of various types of heaters related to the labels;</w:t>
      </w:r>
    </w:p>
    <w:p w:rsidR="009D7780" w:rsidRDefault="009D7780" w:rsidP="00687707">
      <w:pPr>
        <w:numPr>
          <w:ilvl w:val="0"/>
          <w:numId w:val="19"/>
        </w:numPr>
      </w:pPr>
      <w:r>
        <w:t>The feasibility and usefulness of indicating heater efficiency in the label;</w:t>
      </w:r>
    </w:p>
    <w:p w:rsidR="009D7780" w:rsidRDefault="009D7780" w:rsidP="00687707">
      <w:pPr>
        <w:numPr>
          <w:ilvl w:val="0"/>
          <w:numId w:val="19"/>
        </w:numPr>
      </w:pPr>
      <w:r>
        <w:t>The appropriateness of the package fiches and labels;</w:t>
      </w:r>
    </w:p>
    <w:p w:rsidR="009D7780" w:rsidRPr="0015605F" w:rsidRDefault="009D7780" w:rsidP="00687707">
      <w:pPr>
        <w:numPr>
          <w:ilvl w:val="0"/>
          <w:numId w:val="19"/>
        </w:numPr>
      </w:pPr>
      <w:r>
        <w:t>The appropriateness of including passive flue recovery devices in the scope of Regulation 811/2013.</w:t>
      </w:r>
    </w:p>
    <w:p w:rsidR="00FA4D22" w:rsidRPr="0015605F" w:rsidRDefault="005D2179" w:rsidP="00851C69">
      <w:pPr>
        <w:pStyle w:val="Heading1"/>
      </w:pPr>
      <w:bookmarkStart w:id="24" w:name="_Toc372979422"/>
      <w:bookmarkStart w:id="25" w:name="_Toc372979465"/>
      <w:bookmarkStart w:id="26" w:name="_Toc385484873"/>
      <w:bookmarkStart w:id="27" w:name="_Toc402443617"/>
      <w:r>
        <w:t>Key requirements</w:t>
      </w:r>
      <w:bookmarkEnd w:id="24"/>
      <w:bookmarkEnd w:id="25"/>
      <w:bookmarkEnd w:id="26"/>
      <w:bookmarkEnd w:id="27"/>
    </w:p>
    <w:p w:rsidR="00441DAD" w:rsidRDefault="00FA4D22" w:rsidP="00FA4D22">
      <w:bookmarkStart w:id="28" w:name="_Toc372979423"/>
      <w:bookmarkStart w:id="29" w:name="_Toc372979466"/>
      <w:r w:rsidRPr="0015605F">
        <w:t xml:space="preserve">For space and combination heaters, the </w:t>
      </w:r>
      <w:r w:rsidR="004A6741">
        <w:t xml:space="preserve">space </w:t>
      </w:r>
      <w:r w:rsidRPr="0015605F">
        <w:t xml:space="preserve">heating </w:t>
      </w:r>
      <w:r w:rsidR="004A6741">
        <w:t xml:space="preserve">energy </w:t>
      </w:r>
      <w:r w:rsidRPr="0015605F">
        <w:t>efficiency</w:t>
      </w:r>
      <w:r w:rsidR="004A6741">
        <w:t xml:space="preserve"> is the key parameter</w:t>
      </w:r>
      <w:r w:rsidRPr="0015605F">
        <w:t xml:space="preserve">. As heating demand is not constant over the year, the share of part load operation </w:t>
      </w:r>
      <w:r w:rsidR="00441DAD">
        <w:t>ha</w:t>
      </w:r>
      <w:r w:rsidRPr="0015605F">
        <w:t>s to be reflected in the performance criterion.</w:t>
      </w:r>
    </w:p>
    <w:p w:rsidR="00FA4D22" w:rsidRPr="00510A9D" w:rsidRDefault="00441DAD" w:rsidP="00FA4D22">
      <w:r w:rsidRPr="00510A9D">
        <w:t>T</w:t>
      </w:r>
      <w:r w:rsidR="00FA4D22" w:rsidRPr="00510A9D">
        <w:t xml:space="preserve">he space heating energy efficiency class </w:t>
      </w:r>
      <w:r w:rsidRPr="00510A9D">
        <w:t>refl</w:t>
      </w:r>
      <w:r w:rsidR="00FA4D22" w:rsidRPr="00510A9D">
        <w:t>ects these seasonal differences in one aggregated indicator. For fuel driven heaters, as well as for cogeneration heaters with supplementary heaters, the part-load behaviour has to be considered, whereas for electric boiler heaters as well as cogeneration heaters without supplementary heaters, only the efficiency at rated output is taken into account. The requirements for the space heating energy efficiency class are independent of the size o</w:t>
      </w:r>
      <w:r w:rsidR="005D2179">
        <w:t>r</w:t>
      </w:r>
      <w:r w:rsidR="00FA4D22" w:rsidRPr="00510A9D">
        <w:t xml:space="preserve"> the power of the heater in question. The requirement is set as an efficiency criterion for all boiler sizes. </w:t>
      </w:r>
    </w:p>
    <w:p w:rsidR="00FA4D22" w:rsidRPr="0015605F" w:rsidRDefault="00FA4D22" w:rsidP="00FA4D22">
      <w:r w:rsidRPr="00510A9D">
        <w:t xml:space="preserve">For combination </w:t>
      </w:r>
      <w:r w:rsidR="00441DAD" w:rsidRPr="00510A9D">
        <w:t xml:space="preserve">heaters </w:t>
      </w:r>
      <w:r w:rsidRPr="00510A9D">
        <w:t xml:space="preserve">and water heaters, the water heating energy efficiency is </w:t>
      </w:r>
      <w:r w:rsidR="00532B86" w:rsidRPr="00510A9D">
        <w:t>the</w:t>
      </w:r>
      <w:r w:rsidRPr="00510A9D">
        <w:t xml:space="preserve"> </w:t>
      </w:r>
      <w:r w:rsidR="00441DAD" w:rsidRPr="00510A9D">
        <w:t>essential</w:t>
      </w:r>
      <w:r w:rsidRPr="00510A9D">
        <w:t xml:space="preserve"> </w:t>
      </w:r>
      <w:r w:rsidR="00532B86" w:rsidRPr="00510A9D">
        <w:t>parameter</w:t>
      </w:r>
      <w:r w:rsidRPr="00510A9D">
        <w:t xml:space="preserve"> </w:t>
      </w:r>
      <w:r w:rsidR="00532B86" w:rsidRPr="00510A9D">
        <w:t xml:space="preserve">for </w:t>
      </w:r>
      <w:r w:rsidR="005D2179">
        <w:t>indicating</w:t>
      </w:r>
      <w:r w:rsidRPr="00510A9D">
        <w:t xml:space="preserve"> the efficiency of the hot water generation. The requirements for the water heating energy efficiency class are set according to</w:t>
      </w:r>
      <w:r w:rsidRPr="0015605F">
        <w:t xml:space="preserve"> the </w:t>
      </w:r>
      <w:r>
        <w:t>heater</w:t>
      </w:r>
      <w:r w:rsidR="00532B86">
        <w:t>’</w:t>
      </w:r>
      <w:r>
        <w:t xml:space="preserve">s output </w:t>
      </w:r>
      <w:r w:rsidRPr="0015605F">
        <w:t xml:space="preserve">power. The heaters have been distinguished in classes from 3XS to 4XL with </w:t>
      </w:r>
      <w:r>
        <w:t xml:space="preserve">the efficiency </w:t>
      </w:r>
      <w:r w:rsidRPr="0015605F">
        <w:t xml:space="preserve">requirements rising with the size of the heater. </w:t>
      </w:r>
    </w:p>
    <w:p w:rsidR="005D2179" w:rsidRPr="0015605F" w:rsidRDefault="005D2179" w:rsidP="005659D4">
      <w:r w:rsidRPr="0015605F">
        <w:t xml:space="preserve">In </w:t>
      </w:r>
      <w:r>
        <w:t xml:space="preserve">addition to </w:t>
      </w:r>
      <w:r w:rsidRPr="0015605F">
        <w:t xml:space="preserve">the energy efficiency criteria, the regulation defines </w:t>
      </w:r>
      <w:r>
        <w:t>four</w:t>
      </w:r>
      <w:r w:rsidRPr="0015605F">
        <w:t xml:space="preserve"> </w:t>
      </w:r>
      <w:r>
        <w:t xml:space="preserve">additional compliance </w:t>
      </w:r>
      <w:r w:rsidRPr="0015605F">
        <w:t>criteria</w:t>
      </w:r>
      <w:r>
        <w:t xml:space="preserve"> aimed at reducing other relevant environmental impacts, including:</w:t>
      </w:r>
    </w:p>
    <w:p w:rsidR="005D2179" w:rsidRPr="00532B86" w:rsidRDefault="005D2179" w:rsidP="005659D4">
      <w:pPr>
        <w:numPr>
          <w:ilvl w:val="0"/>
          <w:numId w:val="19"/>
        </w:numPr>
      </w:pPr>
      <w:r w:rsidRPr="00532B86">
        <w:lastRenderedPageBreak/>
        <w:t>The sound level, which i</w:t>
      </w:r>
      <w:r>
        <w:t>s only relevant for heat pumps;</w:t>
      </w:r>
    </w:p>
    <w:p w:rsidR="005D2179" w:rsidRPr="00532B86" w:rsidRDefault="005D2179" w:rsidP="005659D4">
      <w:pPr>
        <w:numPr>
          <w:ilvl w:val="0"/>
          <w:numId w:val="19"/>
        </w:numPr>
      </w:pPr>
      <w:r w:rsidRPr="00532B86">
        <w:t>Nitrogen oxide</w:t>
      </w:r>
      <w:r>
        <w:t xml:space="preserve"> emissions</w:t>
      </w:r>
      <w:r w:rsidRPr="00532B86">
        <w:t xml:space="preserve"> for fuel </w:t>
      </w:r>
      <w:r>
        <w:t>based</w:t>
      </w:r>
      <w:r w:rsidRPr="00532B86">
        <w:t xml:space="preserve"> space and combination heaters, as well as heat pumps with sup</w:t>
      </w:r>
      <w:r>
        <w:t>plementary fuel based heaters;</w:t>
      </w:r>
    </w:p>
    <w:p w:rsidR="005D2179" w:rsidRPr="00532B86" w:rsidRDefault="005D2179" w:rsidP="005659D4">
      <w:pPr>
        <w:numPr>
          <w:ilvl w:val="0"/>
          <w:numId w:val="19"/>
        </w:numPr>
      </w:pPr>
      <w:r w:rsidRPr="00532B86">
        <w:t xml:space="preserve">Standing losses for </w:t>
      </w:r>
      <w:r>
        <w:t>h</w:t>
      </w:r>
      <w:r w:rsidRPr="00532B86">
        <w:t xml:space="preserve">ot </w:t>
      </w:r>
      <w:r>
        <w:t>w</w:t>
      </w:r>
      <w:r w:rsidRPr="00532B86">
        <w:t xml:space="preserve">ater </w:t>
      </w:r>
      <w:r>
        <w:t>s</w:t>
      </w:r>
      <w:r w:rsidRPr="00532B86">
        <w:t xml:space="preserve">torage </w:t>
      </w:r>
      <w:r>
        <w:t>t</w:t>
      </w:r>
      <w:r w:rsidRPr="00532B86">
        <w:t>anks.</w:t>
      </w:r>
    </w:p>
    <w:p w:rsidR="005D2179" w:rsidRDefault="005D2179" w:rsidP="005659D4">
      <w:r w:rsidRPr="00823173">
        <w:t xml:space="preserve">For the sound level, the requirements are size dependant; the heaters are classified according to their power output. The limit values are given as absolute values </w:t>
      </w:r>
      <w:r>
        <w:t>of</w:t>
      </w:r>
      <w:r w:rsidRPr="00823173">
        <w:t xml:space="preserve"> indoor and outdoor sound power levels in decibels (dB).</w:t>
      </w:r>
    </w:p>
    <w:p w:rsidR="005D2179" w:rsidRDefault="005D2179" w:rsidP="005659D4">
      <w:r w:rsidRPr="0015605F">
        <w:t>For nitrogen oxides</w:t>
      </w:r>
      <w:r>
        <w:t>, the regulation prescribes</w:t>
      </w:r>
      <w:r w:rsidRPr="0015605F">
        <w:t xml:space="preserve"> emission levels in relation to the </w:t>
      </w:r>
      <w:r>
        <w:t xml:space="preserve">fuel input </w:t>
      </w:r>
      <w:r w:rsidRPr="0015605F">
        <w:t>power (mg NO</w:t>
      </w:r>
      <w:r w:rsidRPr="0015605F">
        <w:rPr>
          <w:vertAlign w:val="subscript"/>
        </w:rPr>
        <w:t>2equ</w:t>
      </w:r>
      <w:r w:rsidRPr="0015605F">
        <w:t>/</w:t>
      </w:r>
      <w:r>
        <w:t>k</w:t>
      </w:r>
      <w:r w:rsidRPr="0015605F">
        <w:t>Wh).</w:t>
      </w:r>
    </w:p>
    <w:p w:rsidR="005D2179" w:rsidRDefault="005D2179" w:rsidP="005659D4">
      <w:r w:rsidRPr="0015605F">
        <w:t>For the storage volume criterion</w:t>
      </w:r>
      <w:r>
        <w:t>, the regulation prescribes</w:t>
      </w:r>
      <w:r w:rsidRPr="0015605F">
        <w:t xml:space="preserve"> a minimum load of the storage compartment. This minimum storage is differentiated </w:t>
      </w:r>
      <w:r>
        <w:t xml:space="preserve">between </w:t>
      </w:r>
      <w:r w:rsidRPr="0015605F">
        <w:t xml:space="preserve">the size categories </w:t>
      </w:r>
      <w:r>
        <w:t xml:space="preserve">used for </w:t>
      </w:r>
      <w:r w:rsidRPr="0015605F">
        <w:t>water heating efficiency and is given in litres. This criterion is only relevant f</w:t>
      </w:r>
      <w:r>
        <w:t>or boilers of size M and above.</w:t>
      </w:r>
    </w:p>
    <w:p w:rsidR="005D2179" w:rsidRPr="0015605F" w:rsidRDefault="005D2179" w:rsidP="005659D4">
      <w:r w:rsidRPr="0015605F">
        <w:t xml:space="preserve">The maximum standing losses are </w:t>
      </w:r>
      <w:r>
        <w:t xml:space="preserve">defined as </w:t>
      </w:r>
      <w:r w:rsidRPr="0015605F">
        <w:t xml:space="preserve">a </w:t>
      </w:r>
      <w:r>
        <w:t>p</w:t>
      </w:r>
      <w:r w:rsidRPr="0015605F">
        <w:t xml:space="preserve">ower </w:t>
      </w:r>
      <w:r>
        <w:t>(</w:t>
      </w:r>
      <w:r w:rsidRPr="0015605F">
        <w:t>in Watt</w:t>
      </w:r>
      <w:r>
        <w:t>s)</w:t>
      </w:r>
      <w:r w:rsidRPr="0015605F">
        <w:t xml:space="preserve"> </w:t>
      </w:r>
      <w:r>
        <w:t>expressed</w:t>
      </w:r>
      <w:r w:rsidRPr="0015605F">
        <w:t xml:space="preserve"> as a fu</w:t>
      </w:r>
      <w:r>
        <w:t>nction of the storage capacity.</w:t>
      </w:r>
    </w:p>
    <w:p w:rsidR="005D2179" w:rsidRDefault="005D2179" w:rsidP="005D2179">
      <w:r w:rsidRPr="0015605F">
        <w:t xml:space="preserve">The following table gives </w:t>
      </w:r>
      <w:r>
        <w:t>an</w:t>
      </w:r>
      <w:r w:rsidRPr="0015605F">
        <w:t xml:space="preserve"> overview of the criteria to be fulfilled as well as the dates </w:t>
      </w:r>
      <w:r>
        <w:t>on which these criteria come into force.</w:t>
      </w:r>
    </w:p>
    <w:bookmarkEnd w:id="28"/>
    <w:bookmarkEnd w:id="29"/>
    <w:tbl>
      <w:tblPr>
        <w:tblW w:w="5000" w:type="pct"/>
        <w:tblBorders>
          <w:insideH w:val="single" w:sz="4" w:space="0" w:color="auto"/>
        </w:tblBorders>
        <w:tblLook w:val="04A0" w:firstRow="1" w:lastRow="0" w:firstColumn="1" w:lastColumn="0" w:noHBand="0" w:noVBand="1"/>
      </w:tblPr>
      <w:tblGrid>
        <w:gridCol w:w="2127"/>
        <w:gridCol w:w="1282"/>
        <w:gridCol w:w="1282"/>
        <w:gridCol w:w="1280"/>
        <w:gridCol w:w="1280"/>
        <w:gridCol w:w="1271"/>
      </w:tblGrid>
      <w:tr w:rsidR="00BB31DD" w:rsidRPr="0015605F" w:rsidTr="00687707">
        <w:tc>
          <w:tcPr>
            <w:tcW w:w="1248" w:type="pct"/>
            <w:shd w:val="clear" w:color="auto" w:fill="auto"/>
            <w:vAlign w:val="center"/>
          </w:tcPr>
          <w:p w:rsidR="00BB31DD" w:rsidRPr="00687707" w:rsidRDefault="00BB31DD" w:rsidP="00687707">
            <w:pPr>
              <w:spacing w:before="0" w:after="0"/>
              <w:jc w:val="left"/>
              <w:rPr>
                <w:rFonts w:eastAsia="Calibri"/>
                <w:sz w:val="20"/>
                <w:szCs w:val="20"/>
              </w:rPr>
            </w:pPr>
          </w:p>
        </w:tc>
        <w:tc>
          <w:tcPr>
            <w:tcW w:w="752" w:type="pct"/>
            <w:shd w:val="clear" w:color="auto" w:fill="auto"/>
            <w:vAlign w:val="center"/>
          </w:tcPr>
          <w:p w:rsidR="00BB31DD" w:rsidRPr="00687707" w:rsidRDefault="00BB31DD" w:rsidP="00687707">
            <w:pPr>
              <w:spacing w:before="0" w:after="0"/>
              <w:jc w:val="center"/>
              <w:rPr>
                <w:rFonts w:eastAsia="Calibri"/>
                <w:b/>
                <w:sz w:val="20"/>
                <w:szCs w:val="20"/>
              </w:rPr>
            </w:pPr>
            <w:r w:rsidRPr="00687707">
              <w:rPr>
                <w:rFonts w:eastAsia="Calibri"/>
                <w:b/>
                <w:sz w:val="20"/>
                <w:szCs w:val="20"/>
              </w:rPr>
              <w:t>Space Heating Energy Efficiency</w:t>
            </w:r>
          </w:p>
        </w:tc>
        <w:tc>
          <w:tcPr>
            <w:tcW w:w="752" w:type="pct"/>
            <w:shd w:val="clear" w:color="auto" w:fill="auto"/>
            <w:vAlign w:val="center"/>
          </w:tcPr>
          <w:p w:rsidR="00BB31DD" w:rsidRPr="00687707" w:rsidRDefault="00BB31DD" w:rsidP="00687707">
            <w:pPr>
              <w:spacing w:before="0" w:after="0"/>
              <w:jc w:val="center"/>
              <w:rPr>
                <w:rFonts w:eastAsia="Calibri"/>
                <w:b/>
                <w:sz w:val="20"/>
                <w:szCs w:val="20"/>
              </w:rPr>
            </w:pPr>
            <w:r w:rsidRPr="00687707">
              <w:rPr>
                <w:rFonts w:eastAsia="Calibri"/>
                <w:b/>
                <w:sz w:val="20"/>
                <w:szCs w:val="20"/>
              </w:rPr>
              <w:t>Water Heating Energy Efficiency</w:t>
            </w:r>
          </w:p>
        </w:tc>
        <w:tc>
          <w:tcPr>
            <w:tcW w:w="751" w:type="pct"/>
            <w:shd w:val="clear" w:color="auto" w:fill="auto"/>
            <w:vAlign w:val="center"/>
          </w:tcPr>
          <w:p w:rsidR="00BB31DD" w:rsidRPr="00687707" w:rsidRDefault="00BB31DD" w:rsidP="00687707">
            <w:pPr>
              <w:spacing w:before="0" w:after="0"/>
              <w:jc w:val="center"/>
              <w:rPr>
                <w:rFonts w:eastAsia="Calibri"/>
                <w:b/>
                <w:sz w:val="20"/>
                <w:szCs w:val="20"/>
              </w:rPr>
            </w:pPr>
            <w:r w:rsidRPr="00687707">
              <w:rPr>
                <w:rFonts w:eastAsia="Calibri"/>
                <w:b/>
                <w:sz w:val="20"/>
                <w:szCs w:val="20"/>
              </w:rPr>
              <w:t>Sound Power Level</w:t>
            </w:r>
          </w:p>
        </w:tc>
        <w:tc>
          <w:tcPr>
            <w:tcW w:w="751" w:type="pct"/>
            <w:shd w:val="clear" w:color="auto" w:fill="auto"/>
            <w:vAlign w:val="center"/>
          </w:tcPr>
          <w:p w:rsidR="00BB31DD" w:rsidRPr="00687707" w:rsidRDefault="00BB31DD" w:rsidP="00687707">
            <w:pPr>
              <w:spacing w:before="0" w:after="0"/>
              <w:jc w:val="center"/>
              <w:rPr>
                <w:rFonts w:eastAsia="Calibri"/>
                <w:b/>
                <w:sz w:val="20"/>
                <w:szCs w:val="20"/>
              </w:rPr>
            </w:pPr>
            <w:r w:rsidRPr="00687707">
              <w:rPr>
                <w:rFonts w:eastAsia="Calibri"/>
                <w:b/>
                <w:sz w:val="20"/>
                <w:szCs w:val="20"/>
              </w:rPr>
              <w:t>Emissions of Nitrogen oxides</w:t>
            </w:r>
          </w:p>
        </w:tc>
        <w:tc>
          <w:tcPr>
            <w:tcW w:w="746" w:type="pct"/>
            <w:shd w:val="clear" w:color="auto" w:fill="auto"/>
            <w:vAlign w:val="center"/>
          </w:tcPr>
          <w:p w:rsidR="00BB31DD" w:rsidRPr="00687707" w:rsidRDefault="00BB31DD" w:rsidP="00687707">
            <w:pPr>
              <w:spacing w:before="0" w:after="0"/>
              <w:jc w:val="center"/>
              <w:rPr>
                <w:rFonts w:eastAsia="Calibri"/>
                <w:b/>
                <w:sz w:val="20"/>
                <w:szCs w:val="20"/>
              </w:rPr>
            </w:pPr>
            <w:r w:rsidRPr="00687707">
              <w:rPr>
                <w:rFonts w:eastAsia="Calibri"/>
                <w:b/>
                <w:sz w:val="20"/>
                <w:szCs w:val="20"/>
              </w:rPr>
              <w:t>Standing Losses</w:t>
            </w:r>
          </w:p>
        </w:tc>
      </w:tr>
      <w:tr w:rsidR="00BB31DD" w:rsidRPr="0015605F" w:rsidTr="00687707">
        <w:tc>
          <w:tcPr>
            <w:tcW w:w="1248" w:type="pct"/>
            <w:shd w:val="clear" w:color="auto" w:fill="auto"/>
            <w:vAlign w:val="center"/>
          </w:tcPr>
          <w:p w:rsidR="00BB31DD" w:rsidRPr="00687707" w:rsidRDefault="00BB31DD" w:rsidP="00687707">
            <w:pPr>
              <w:spacing w:before="0" w:after="0"/>
              <w:jc w:val="left"/>
              <w:rPr>
                <w:rFonts w:eastAsia="Calibri"/>
                <w:b/>
                <w:sz w:val="20"/>
                <w:szCs w:val="20"/>
              </w:rPr>
            </w:pPr>
            <w:r w:rsidRPr="00687707">
              <w:rPr>
                <w:rFonts w:eastAsia="Calibri"/>
                <w:b/>
                <w:sz w:val="20"/>
                <w:szCs w:val="20"/>
              </w:rPr>
              <w:t>TIER I</w:t>
            </w:r>
          </w:p>
        </w:tc>
        <w:tc>
          <w:tcPr>
            <w:tcW w:w="752" w:type="pct"/>
            <w:shd w:val="clear" w:color="auto" w:fill="auto"/>
            <w:vAlign w:val="center"/>
          </w:tcPr>
          <w:p w:rsidR="00BB31DD" w:rsidRPr="00687707" w:rsidRDefault="00BB31DD" w:rsidP="00687707">
            <w:pPr>
              <w:spacing w:before="0" w:after="0"/>
              <w:jc w:val="center"/>
              <w:rPr>
                <w:rFonts w:eastAsia="Calibri"/>
                <w:sz w:val="20"/>
                <w:szCs w:val="20"/>
              </w:rPr>
            </w:pPr>
            <w:r w:rsidRPr="00687707">
              <w:rPr>
                <w:rFonts w:eastAsia="Calibri"/>
                <w:sz w:val="20"/>
                <w:szCs w:val="20"/>
              </w:rPr>
              <w:t>26.09.2015</w:t>
            </w:r>
          </w:p>
        </w:tc>
        <w:tc>
          <w:tcPr>
            <w:tcW w:w="752" w:type="pct"/>
            <w:shd w:val="clear" w:color="auto" w:fill="auto"/>
            <w:vAlign w:val="center"/>
          </w:tcPr>
          <w:p w:rsidR="00BB31DD" w:rsidRPr="00687707" w:rsidRDefault="00BB31DD" w:rsidP="00687707">
            <w:pPr>
              <w:spacing w:before="0" w:after="0"/>
              <w:jc w:val="center"/>
              <w:rPr>
                <w:rFonts w:eastAsia="Calibri"/>
                <w:sz w:val="20"/>
                <w:szCs w:val="20"/>
              </w:rPr>
            </w:pPr>
            <w:r w:rsidRPr="00687707">
              <w:rPr>
                <w:rFonts w:eastAsia="Calibri"/>
                <w:sz w:val="20"/>
                <w:szCs w:val="20"/>
              </w:rPr>
              <w:t>26.09.2015</w:t>
            </w:r>
          </w:p>
        </w:tc>
        <w:tc>
          <w:tcPr>
            <w:tcW w:w="751" w:type="pct"/>
            <w:shd w:val="clear" w:color="auto" w:fill="auto"/>
            <w:vAlign w:val="center"/>
          </w:tcPr>
          <w:p w:rsidR="00BB31DD" w:rsidRPr="00687707" w:rsidRDefault="00BB31DD" w:rsidP="00687707">
            <w:pPr>
              <w:spacing w:before="0" w:after="0"/>
              <w:jc w:val="center"/>
              <w:rPr>
                <w:rFonts w:eastAsia="Calibri"/>
                <w:sz w:val="20"/>
                <w:szCs w:val="20"/>
              </w:rPr>
            </w:pPr>
            <w:r w:rsidRPr="00687707">
              <w:rPr>
                <w:rFonts w:eastAsia="Calibri"/>
                <w:sz w:val="20"/>
                <w:szCs w:val="20"/>
              </w:rPr>
              <w:t>26.09.2015</w:t>
            </w:r>
          </w:p>
        </w:tc>
        <w:tc>
          <w:tcPr>
            <w:tcW w:w="751" w:type="pct"/>
            <w:shd w:val="clear" w:color="auto" w:fill="auto"/>
            <w:vAlign w:val="center"/>
          </w:tcPr>
          <w:p w:rsidR="00BB31DD" w:rsidRPr="00687707" w:rsidRDefault="00BB31DD" w:rsidP="00687707">
            <w:pPr>
              <w:spacing w:before="0" w:after="0"/>
              <w:jc w:val="center"/>
              <w:rPr>
                <w:rFonts w:eastAsia="Calibri"/>
                <w:sz w:val="20"/>
                <w:szCs w:val="20"/>
              </w:rPr>
            </w:pPr>
            <w:r w:rsidRPr="00687707">
              <w:rPr>
                <w:rFonts w:eastAsia="Calibri"/>
                <w:sz w:val="20"/>
                <w:szCs w:val="20"/>
              </w:rPr>
              <w:t>26.09.2018</w:t>
            </w:r>
          </w:p>
        </w:tc>
        <w:tc>
          <w:tcPr>
            <w:tcW w:w="746" w:type="pct"/>
            <w:shd w:val="clear" w:color="auto" w:fill="auto"/>
            <w:vAlign w:val="center"/>
          </w:tcPr>
          <w:p w:rsidR="00BB31DD" w:rsidRPr="00687707" w:rsidRDefault="00BB31DD" w:rsidP="00687707">
            <w:pPr>
              <w:spacing w:before="0" w:after="0"/>
              <w:jc w:val="center"/>
              <w:rPr>
                <w:rFonts w:eastAsia="Calibri"/>
                <w:sz w:val="20"/>
                <w:szCs w:val="20"/>
              </w:rPr>
            </w:pPr>
            <w:r w:rsidRPr="00687707">
              <w:rPr>
                <w:rFonts w:eastAsia="Calibri"/>
                <w:sz w:val="20"/>
                <w:szCs w:val="20"/>
              </w:rPr>
              <w:t>26.09.2017</w:t>
            </w:r>
          </w:p>
        </w:tc>
      </w:tr>
      <w:tr w:rsidR="00BB31DD" w:rsidRPr="0015605F" w:rsidTr="00687707">
        <w:tc>
          <w:tcPr>
            <w:tcW w:w="1248" w:type="pct"/>
            <w:shd w:val="clear" w:color="auto" w:fill="auto"/>
            <w:vAlign w:val="center"/>
          </w:tcPr>
          <w:p w:rsidR="00BB31DD" w:rsidRPr="00687707" w:rsidRDefault="00BB31DD" w:rsidP="00687707">
            <w:pPr>
              <w:spacing w:before="0" w:after="0"/>
              <w:jc w:val="left"/>
              <w:rPr>
                <w:rFonts w:eastAsia="Calibri"/>
                <w:b/>
                <w:sz w:val="20"/>
                <w:szCs w:val="20"/>
              </w:rPr>
            </w:pPr>
            <w:r w:rsidRPr="00687707">
              <w:rPr>
                <w:rFonts w:eastAsia="Calibri"/>
                <w:b/>
                <w:sz w:val="20"/>
                <w:szCs w:val="20"/>
              </w:rPr>
              <w:t>TIER II</w:t>
            </w:r>
          </w:p>
        </w:tc>
        <w:tc>
          <w:tcPr>
            <w:tcW w:w="752" w:type="pct"/>
            <w:shd w:val="clear" w:color="auto" w:fill="auto"/>
            <w:vAlign w:val="center"/>
          </w:tcPr>
          <w:p w:rsidR="00BB31DD" w:rsidRPr="00687707" w:rsidRDefault="00BB31DD" w:rsidP="00687707">
            <w:pPr>
              <w:spacing w:before="0" w:after="0"/>
              <w:jc w:val="center"/>
              <w:rPr>
                <w:rFonts w:eastAsia="Calibri"/>
                <w:sz w:val="20"/>
                <w:szCs w:val="20"/>
              </w:rPr>
            </w:pPr>
            <w:r w:rsidRPr="00687707">
              <w:rPr>
                <w:rFonts w:eastAsia="Calibri"/>
                <w:sz w:val="20"/>
                <w:szCs w:val="20"/>
              </w:rPr>
              <w:t>26.09.2017</w:t>
            </w:r>
          </w:p>
        </w:tc>
        <w:tc>
          <w:tcPr>
            <w:tcW w:w="752" w:type="pct"/>
            <w:shd w:val="clear" w:color="auto" w:fill="auto"/>
            <w:vAlign w:val="center"/>
          </w:tcPr>
          <w:p w:rsidR="00BB31DD" w:rsidRPr="00687707" w:rsidRDefault="00BB31DD" w:rsidP="00687707">
            <w:pPr>
              <w:spacing w:before="0" w:after="0"/>
              <w:jc w:val="center"/>
              <w:rPr>
                <w:rFonts w:eastAsia="Calibri"/>
                <w:sz w:val="20"/>
                <w:szCs w:val="20"/>
              </w:rPr>
            </w:pPr>
            <w:r w:rsidRPr="00687707">
              <w:rPr>
                <w:rFonts w:eastAsia="Calibri"/>
                <w:sz w:val="20"/>
                <w:szCs w:val="20"/>
              </w:rPr>
              <w:t>26.09.2017</w:t>
            </w:r>
          </w:p>
        </w:tc>
        <w:tc>
          <w:tcPr>
            <w:tcW w:w="751" w:type="pct"/>
            <w:shd w:val="clear" w:color="auto" w:fill="auto"/>
            <w:vAlign w:val="center"/>
          </w:tcPr>
          <w:p w:rsidR="00BB31DD" w:rsidRPr="00687707" w:rsidRDefault="00BB31DD" w:rsidP="00687707">
            <w:pPr>
              <w:spacing w:before="0" w:after="0"/>
              <w:jc w:val="center"/>
              <w:rPr>
                <w:rFonts w:eastAsia="Calibri"/>
                <w:sz w:val="20"/>
                <w:szCs w:val="20"/>
              </w:rPr>
            </w:pPr>
          </w:p>
        </w:tc>
        <w:tc>
          <w:tcPr>
            <w:tcW w:w="751" w:type="pct"/>
            <w:shd w:val="clear" w:color="auto" w:fill="auto"/>
            <w:vAlign w:val="center"/>
          </w:tcPr>
          <w:p w:rsidR="00BB31DD" w:rsidRPr="00687707" w:rsidRDefault="00BB31DD" w:rsidP="00687707">
            <w:pPr>
              <w:spacing w:before="0" w:after="0"/>
              <w:jc w:val="center"/>
              <w:rPr>
                <w:rFonts w:eastAsia="Calibri"/>
                <w:sz w:val="20"/>
                <w:szCs w:val="20"/>
              </w:rPr>
            </w:pPr>
          </w:p>
        </w:tc>
        <w:tc>
          <w:tcPr>
            <w:tcW w:w="746" w:type="pct"/>
            <w:shd w:val="clear" w:color="auto" w:fill="auto"/>
            <w:vAlign w:val="center"/>
          </w:tcPr>
          <w:p w:rsidR="00BB31DD" w:rsidRPr="00687707" w:rsidRDefault="00BB31DD" w:rsidP="00687707">
            <w:pPr>
              <w:spacing w:before="0" w:after="0"/>
              <w:jc w:val="center"/>
              <w:rPr>
                <w:rFonts w:eastAsia="Calibri"/>
                <w:sz w:val="20"/>
                <w:szCs w:val="20"/>
              </w:rPr>
            </w:pPr>
          </w:p>
        </w:tc>
      </w:tr>
      <w:tr w:rsidR="00BB31DD" w:rsidRPr="0015605F" w:rsidTr="00687707">
        <w:tc>
          <w:tcPr>
            <w:tcW w:w="1248" w:type="pct"/>
            <w:shd w:val="clear" w:color="auto" w:fill="auto"/>
            <w:vAlign w:val="center"/>
          </w:tcPr>
          <w:p w:rsidR="00BB31DD" w:rsidRPr="00687707" w:rsidRDefault="00BB31DD" w:rsidP="00687707">
            <w:pPr>
              <w:spacing w:before="0" w:after="0"/>
              <w:jc w:val="left"/>
              <w:rPr>
                <w:rFonts w:eastAsia="Calibri"/>
                <w:b/>
                <w:sz w:val="20"/>
                <w:szCs w:val="20"/>
              </w:rPr>
            </w:pPr>
            <w:r w:rsidRPr="00687707">
              <w:rPr>
                <w:rFonts w:eastAsia="Calibri"/>
                <w:b/>
                <w:sz w:val="20"/>
                <w:szCs w:val="20"/>
              </w:rPr>
              <w:t>TIER III</w:t>
            </w:r>
          </w:p>
        </w:tc>
        <w:tc>
          <w:tcPr>
            <w:tcW w:w="752" w:type="pct"/>
            <w:shd w:val="clear" w:color="auto" w:fill="auto"/>
            <w:vAlign w:val="center"/>
          </w:tcPr>
          <w:p w:rsidR="00BB31DD" w:rsidRPr="00687707" w:rsidRDefault="00BB31DD" w:rsidP="00687707">
            <w:pPr>
              <w:spacing w:before="0" w:after="0"/>
              <w:jc w:val="center"/>
              <w:rPr>
                <w:rFonts w:eastAsia="Calibri"/>
                <w:sz w:val="20"/>
                <w:szCs w:val="20"/>
              </w:rPr>
            </w:pPr>
          </w:p>
        </w:tc>
        <w:tc>
          <w:tcPr>
            <w:tcW w:w="752" w:type="pct"/>
            <w:shd w:val="clear" w:color="auto" w:fill="auto"/>
            <w:vAlign w:val="center"/>
          </w:tcPr>
          <w:p w:rsidR="00BB31DD" w:rsidRPr="00687707" w:rsidRDefault="00BB31DD" w:rsidP="00687707">
            <w:pPr>
              <w:spacing w:before="0" w:after="0"/>
              <w:jc w:val="center"/>
              <w:rPr>
                <w:rFonts w:eastAsia="Calibri"/>
                <w:sz w:val="20"/>
                <w:szCs w:val="20"/>
              </w:rPr>
            </w:pPr>
            <w:r w:rsidRPr="00687707">
              <w:rPr>
                <w:rFonts w:eastAsia="Calibri"/>
                <w:sz w:val="20"/>
                <w:szCs w:val="20"/>
              </w:rPr>
              <w:t>26.09.2018</w:t>
            </w:r>
          </w:p>
        </w:tc>
        <w:tc>
          <w:tcPr>
            <w:tcW w:w="751" w:type="pct"/>
            <w:shd w:val="clear" w:color="auto" w:fill="auto"/>
            <w:vAlign w:val="center"/>
          </w:tcPr>
          <w:p w:rsidR="00BB31DD" w:rsidRPr="00687707" w:rsidRDefault="00BB31DD" w:rsidP="00687707">
            <w:pPr>
              <w:spacing w:before="0" w:after="0"/>
              <w:jc w:val="center"/>
              <w:rPr>
                <w:rFonts w:eastAsia="Calibri"/>
                <w:sz w:val="20"/>
                <w:szCs w:val="20"/>
              </w:rPr>
            </w:pPr>
          </w:p>
        </w:tc>
        <w:tc>
          <w:tcPr>
            <w:tcW w:w="751" w:type="pct"/>
            <w:shd w:val="clear" w:color="auto" w:fill="auto"/>
            <w:vAlign w:val="center"/>
          </w:tcPr>
          <w:p w:rsidR="00BB31DD" w:rsidRPr="00687707" w:rsidRDefault="00BB31DD" w:rsidP="00687707">
            <w:pPr>
              <w:spacing w:before="0" w:after="0"/>
              <w:jc w:val="center"/>
              <w:rPr>
                <w:rFonts w:eastAsia="Calibri"/>
                <w:sz w:val="20"/>
                <w:szCs w:val="20"/>
              </w:rPr>
            </w:pPr>
          </w:p>
        </w:tc>
        <w:tc>
          <w:tcPr>
            <w:tcW w:w="746" w:type="pct"/>
            <w:shd w:val="clear" w:color="auto" w:fill="auto"/>
            <w:vAlign w:val="center"/>
          </w:tcPr>
          <w:p w:rsidR="00BB31DD" w:rsidRPr="00687707" w:rsidRDefault="00BB31DD" w:rsidP="00687707">
            <w:pPr>
              <w:spacing w:before="0" w:after="0"/>
              <w:jc w:val="center"/>
              <w:rPr>
                <w:rFonts w:eastAsia="Calibri"/>
                <w:sz w:val="20"/>
                <w:szCs w:val="20"/>
              </w:rPr>
            </w:pPr>
          </w:p>
        </w:tc>
      </w:tr>
      <w:tr w:rsidR="00BB31DD" w:rsidRPr="0015605F" w:rsidTr="00687707">
        <w:tc>
          <w:tcPr>
            <w:tcW w:w="1248" w:type="pct"/>
            <w:shd w:val="clear" w:color="auto" w:fill="auto"/>
            <w:vAlign w:val="center"/>
          </w:tcPr>
          <w:p w:rsidR="00BB31DD" w:rsidRPr="00687707" w:rsidRDefault="00BB31DD" w:rsidP="00687707">
            <w:pPr>
              <w:spacing w:before="0" w:after="0"/>
              <w:jc w:val="left"/>
              <w:rPr>
                <w:rFonts w:eastAsia="Calibri"/>
                <w:b/>
                <w:sz w:val="20"/>
                <w:szCs w:val="20"/>
              </w:rPr>
            </w:pPr>
            <w:r w:rsidRPr="00687707">
              <w:rPr>
                <w:rFonts w:eastAsia="Calibri"/>
                <w:b/>
                <w:sz w:val="20"/>
                <w:szCs w:val="20"/>
              </w:rPr>
              <w:t>Space heaters (other than heat pumps)</w:t>
            </w:r>
          </w:p>
        </w:tc>
        <w:tc>
          <w:tcPr>
            <w:tcW w:w="752" w:type="pct"/>
            <w:shd w:val="pct25" w:color="auto" w:fill="auto"/>
            <w:vAlign w:val="center"/>
          </w:tcPr>
          <w:p w:rsidR="00BB31DD" w:rsidRPr="00687707" w:rsidRDefault="00BB31DD" w:rsidP="00687707">
            <w:pPr>
              <w:spacing w:before="0" w:after="0"/>
              <w:jc w:val="center"/>
              <w:rPr>
                <w:rFonts w:eastAsia="Calibri"/>
                <w:sz w:val="20"/>
                <w:szCs w:val="20"/>
              </w:rPr>
            </w:pPr>
          </w:p>
        </w:tc>
        <w:tc>
          <w:tcPr>
            <w:tcW w:w="752" w:type="pct"/>
            <w:shd w:val="clear" w:color="auto" w:fill="auto"/>
            <w:vAlign w:val="center"/>
          </w:tcPr>
          <w:p w:rsidR="00BB31DD" w:rsidRPr="00687707" w:rsidRDefault="00BB31DD" w:rsidP="00687707">
            <w:pPr>
              <w:spacing w:before="0" w:after="0"/>
              <w:jc w:val="center"/>
              <w:rPr>
                <w:rFonts w:eastAsia="Calibri"/>
                <w:sz w:val="20"/>
                <w:szCs w:val="20"/>
              </w:rPr>
            </w:pPr>
          </w:p>
        </w:tc>
        <w:tc>
          <w:tcPr>
            <w:tcW w:w="751" w:type="pct"/>
            <w:shd w:val="clear" w:color="auto" w:fill="auto"/>
            <w:vAlign w:val="center"/>
          </w:tcPr>
          <w:p w:rsidR="00BB31DD" w:rsidRPr="00687707" w:rsidRDefault="00BB31DD" w:rsidP="00687707">
            <w:pPr>
              <w:spacing w:before="0" w:after="0"/>
              <w:jc w:val="center"/>
              <w:rPr>
                <w:rFonts w:eastAsia="Calibri"/>
                <w:sz w:val="20"/>
                <w:szCs w:val="20"/>
              </w:rPr>
            </w:pPr>
          </w:p>
        </w:tc>
        <w:tc>
          <w:tcPr>
            <w:tcW w:w="751" w:type="pct"/>
            <w:shd w:val="pct25" w:color="auto" w:fill="auto"/>
            <w:vAlign w:val="center"/>
          </w:tcPr>
          <w:p w:rsidR="00BB31DD" w:rsidRPr="00687707" w:rsidRDefault="00BB31DD" w:rsidP="00687707">
            <w:pPr>
              <w:spacing w:before="0" w:after="0"/>
              <w:jc w:val="center"/>
              <w:rPr>
                <w:rFonts w:eastAsia="Calibri"/>
                <w:sz w:val="20"/>
                <w:szCs w:val="20"/>
              </w:rPr>
            </w:pPr>
          </w:p>
        </w:tc>
        <w:tc>
          <w:tcPr>
            <w:tcW w:w="746" w:type="pct"/>
            <w:shd w:val="clear" w:color="auto" w:fill="auto"/>
            <w:vAlign w:val="center"/>
          </w:tcPr>
          <w:p w:rsidR="00BB31DD" w:rsidRPr="00687707" w:rsidRDefault="00BB31DD" w:rsidP="00687707">
            <w:pPr>
              <w:spacing w:before="0" w:after="0"/>
              <w:jc w:val="center"/>
              <w:rPr>
                <w:rFonts w:eastAsia="Calibri"/>
                <w:sz w:val="20"/>
                <w:szCs w:val="20"/>
              </w:rPr>
            </w:pPr>
          </w:p>
        </w:tc>
      </w:tr>
      <w:tr w:rsidR="00BB31DD" w:rsidRPr="0015605F" w:rsidTr="00687707">
        <w:tc>
          <w:tcPr>
            <w:tcW w:w="1248" w:type="pct"/>
            <w:shd w:val="clear" w:color="auto" w:fill="auto"/>
            <w:vAlign w:val="center"/>
          </w:tcPr>
          <w:p w:rsidR="00BB31DD" w:rsidRPr="00687707" w:rsidRDefault="00BB31DD" w:rsidP="00687707">
            <w:pPr>
              <w:spacing w:before="0" w:after="0"/>
              <w:jc w:val="left"/>
              <w:rPr>
                <w:rFonts w:eastAsia="Calibri"/>
                <w:b/>
                <w:sz w:val="20"/>
                <w:szCs w:val="20"/>
              </w:rPr>
            </w:pPr>
            <w:r w:rsidRPr="00687707">
              <w:rPr>
                <w:rFonts w:eastAsia="Calibri"/>
                <w:b/>
                <w:sz w:val="20"/>
                <w:szCs w:val="20"/>
              </w:rPr>
              <w:t>Heat pump space heaters</w:t>
            </w:r>
          </w:p>
        </w:tc>
        <w:tc>
          <w:tcPr>
            <w:tcW w:w="752" w:type="pct"/>
            <w:shd w:val="pct25" w:color="auto" w:fill="auto"/>
            <w:vAlign w:val="center"/>
          </w:tcPr>
          <w:p w:rsidR="00BB31DD" w:rsidRPr="00687707" w:rsidRDefault="00BB31DD" w:rsidP="00687707">
            <w:pPr>
              <w:spacing w:before="0" w:after="0"/>
              <w:jc w:val="center"/>
              <w:rPr>
                <w:rFonts w:eastAsia="Calibri"/>
                <w:sz w:val="20"/>
                <w:szCs w:val="20"/>
              </w:rPr>
            </w:pPr>
          </w:p>
        </w:tc>
        <w:tc>
          <w:tcPr>
            <w:tcW w:w="752" w:type="pct"/>
            <w:shd w:val="clear" w:color="auto" w:fill="auto"/>
            <w:vAlign w:val="center"/>
          </w:tcPr>
          <w:p w:rsidR="00BB31DD" w:rsidRPr="00687707" w:rsidRDefault="00BB31DD" w:rsidP="00687707">
            <w:pPr>
              <w:spacing w:before="0" w:after="0"/>
              <w:jc w:val="center"/>
              <w:rPr>
                <w:rFonts w:eastAsia="Calibri"/>
                <w:sz w:val="20"/>
                <w:szCs w:val="20"/>
              </w:rPr>
            </w:pPr>
          </w:p>
        </w:tc>
        <w:tc>
          <w:tcPr>
            <w:tcW w:w="751" w:type="pct"/>
            <w:shd w:val="pct25" w:color="auto" w:fill="auto"/>
            <w:vAlign w:val="center"/>
          </w:tcPr>
          <w:p w:rsidR="00BB31DD" w:rsidRPr="00687707" w:rsidRDefault="00BB31DD" w:rsidP="00687707">
            <w:pPr>
              <w:spacing w:before="0" w:after="0"/>
              <w:jc w:val="center"/>
              <w:rPr>
                <w:rFonts w:eastAsia="Calibri"/>
                <w:sz w:val="20"/>
                <w:szCs w:val="20"/>
              </w:rPr>
            </w:pPr>
          </w:p>
        </w:tc>
        <w:tc>
          <w:tcPr>
            <w:tcW w:w="751" w:type="pct"/>
            <w:shd w:val="clear" w:color="auto" w:fill="auto"/>
            <w:vAlign w:val="center"/>
          </w:tcPr>
          <w:p w:rsidR="00BB31DD" w:rsidRPr="00687707" w:rsidRDefault="00BB31DD" w:rsidP="00687707">
            <w:pPr>
              <w:spacing w:before="0" w:after="0"/>
              <w:jc w:val="center"/>
              <w:rPr>
                <w:rFonts w:eastAsia="Calibri"/>
                <w:sz w:val="20"/>
                <w:szCs w:val="20"/>
              </w:rPr>
            </w:pPr>
          </w:p>
        </w:tc>
        <w:tc>
          <w:tcPr>
            <w:tcW w:w="746" w:type="pct"/>
            <w:shd w:val="clear" w:color="auto" w:fill="auto"/>
            <w:vAlign w:val="center"/>
          </w:tcPr>
          <w:p w:rsidR="00BB31DD" w:rsidRPr="00687707" w:rsidRDefault="00BB31DD" w:rsidP="00687707">
            <w:pPr>
              <w:spacing w:before="0" w:after="0"/>
              <w:jc w:val="center"/>
              <w:rPr>
                <w:rFonts w:eastAsia="Calibri"/>
                <w:sz w:val="20"/>
                <w:szCs w:val="20"/>
              </w:rPr>
            </w:pPr>
          </w:p>
        </w:tc>
      </w:tr>
      <w:tr w:rsidR="00BB31DD" w:rsidRPr="0015605F" w:rsidTr="00687707">
        <w:tc>
          <w:tcPr>
            <w:tcW w:w="1248" w:type="pct"/>
            <w:shd w:val="clear" w:color="auto" w:fill="auto"/>
            <w:vAlign w:val="center"/>
          </w:tcPr>
          <w:p w:rsidR="00BB31DD" w:rsidRPr="00687707" w:rsidRDefault="00BB31DD" w:rsidP="00687707">
            <w:pPr>
              <w:spacing w:before="0" w:after="0"/>
              <w:jc w:val="left"/>
              <w:rPr>
                <w:rFonts w:eastAsia="Calibri"/>
                <w:b/>
                <w:sz w:val="20"/>
                <w:szCs w:val="20"/>
              </w:rPr>
            </w:pPr>
            <w:r w:rsidRPr="00687707">
              <w:rPr>
                <w:rFonts w:eastAsia="Calibri"/>
                <w:b/>
                <w:sz w:val="20"/>
                <w:szCs w:val="20"/>
              </w:rPr>
              <w:t>Heat pump space heaters with fuel driven combustion unit</w:t>
            </w:r>
          </w:p>
        </w:tc>
        <w:tc>
          <w:tcPr>
            <w:tcW w:w="752" w:type="pct"/>
            <w:shd w:val="pct25" w:color="auto" w:fill="auto"/>
            <w:vAlign w:val="center"/>
          </w:tcPr>
          <w:p w:rsidR="00BB31DD" w:rsidRPr="00687707" w:rsidRDefault="00BB31DD" w:rsidP="00687707">
            <w:pPr>
              <w:spacing w:before="0" w:after="0"/>
              <w:jc w:val="center"/>
              <w:rPr>
                <w:rFonts w:eastAsia="Calibri"/>
                <w:sz w:val="20"/>
                <w:szCs w:val="20"/>
              </w:rPr>
            </w:pPr>
          </w:p>
        </w:tc>
        <w:tc>
          <w:tcPr>
            <w:tcW w:w="752" w:type="pct"/>
            <w:shd w:val="clear" w:color="auto" w:fill="auto"/>
            <w:vAlign w:val="center"/>
          </w:tcPr>
          <w:p w:rsidR="00BB31DD" w:rsidRPr="00687707" w:rsidRDefault="00BB31DD" w:rsidP="00687707">
            <w:pPr>
              <w:spacing w:before="0" w:after="0"/>
              <w:jc w:val="center"/>
              <w:rPr>
                <w:rFonts w:eastAsia="Calibri"/>
                <w:sz w:val="20"/>
                <w:szCs w:val="20"/>
              </w:rPr>
            </w:pPr>
          </w:p>
        </w:tc>
        <w:tc>
          <w:tcPr>
            <w:tcW w:w="751" w:type="pct"/>
            <w:shd w:val="pct25" w:color="auto" w:fill="auto"/>
            <w:vAlign w:val="center"/>
          </w:tcPr>
          <w:p w:rsidR="00BB31DD" w:rsidRPr="00687707" w:rsidRDefault="00BB31DD" w:rsidP="00687707">
            <w:pPr>
              <w:spacing w:before="0" w:after="0"/>
              <w:jc w:val="center"/>
              <w:rPr>
                <w:rFonts w:eastAsia="Calibri"/>
                <w:sz w:val="20"/>
                <w:szCs w:val="20"/>
              </w:rPr>
            </w:pPr>
          </w:p>
        </w:tc>
        <w:tc>
          <w:tcPr>
            <w:tcW w:w="751" w:type="pct"/>
            <w:shd w:val="pct25" w:color="auto" w:fill="auto"/>
            <w:vAlign w:val="center"/>
          </w:tcPr>
          <w:p w:rsidR="00BB31DD" w:rsidRPr="00687707" w:rsidRDefault="00BB31DD" w:rsidP="00687707">
            <w:pPr>
              <w:spacing w:before="0" w:after="0"/>
              <w:jc w:val="center"/>
              <w:rPr>
                <w:rFonts w:eastAsia="Calibri"/>
                <w:sz w:val="20"/>
                <w:szCs w:val="20"/>
              </w:rPr>
            </w:pPr>
          </w:p>
        </w:tc>
        <w:tc>
          <w:tcPr>
            <w:tcW w:w="746" w:type="pct"/>
            <w:shd w:val="clear" w:color="auto" w:fill="auto"/>
            <w:vAlign w:val="center"/>
          </w:tcPr>
          <w:p w:rsidR="00BB31DD" w:rsidRPr="00687707" w:rsidRDefault="00BB31DD" w:rsidP="00687707">
            <w:pPr>
              <w:spacing w:before="0" w:after="0"/>
              <w:jc w:val="center"/>
              <w:rPr>
                <w:rFonts w:eastAsia="Calibri"/>
                <w:sz w:val="20"/>
                <w:szCs w:val="20"/>
              </w:rPr>
            </w:pPr>
          </w:p>
        </w:tc>
      </w:tr>
      <w:tr w:rsidR="00BB31DD" w:rsidRPr="0015605F" w:rsidTr="00687707">
        <w:tc>
          <w:tcPr>
            <w:tcW w:w="1248" w:type="pct"/>
            <w:shd w:val="clear" w:color="auto" w:fill="auto"/>
            <w:vAlign w:val="center"/>
          </w:tcPr>
          <w:p w:rsidR="00BB31DD" w:rsidRPr="00687707" w:rsidRDefault="00BB31DD" w:rsidP="00687707">
            <w:pPr>
              <w:spacing w:before="0" w:after="0"/>
              <w:jc w:val="left"/>
              <w:rPr>
                <w:rFonts w:eastAsia="Calibri"/>
                <w:b/>
                <w:sz w:val="20"/>
                <w:szCs w:val="20"/>
              </w:rPr>
            </w:pPr>
            <w:r w:rsidRPr="00687707">
              <w:rPr>
                <w:rFonts w:eastAsia="Calibri"/>
                <w:b/>
                <w:sz w:val="20"/>
                <w:szCs w:val="20"/>
              </w:rPr>
              <w:t>Combination  heaters (other than heat pumps)</w:t>
            </w:r>
          </w:p>
        </w:tc>
        <w:tc>
          <w:tcPr>
            <w:tcW w:w="752" w:type="pct"/>
            <w:shd w:val="pct25" w:color="auto" w:fill="auto"/>
            <w:vAlign w:val="center"/>
          </w:tcPr>
          <w:p w:rsidR="00BB31DD" w:rsidRPr="00687707" w:rsidRDefault="00BB31DD" w:rsidP="00687707">
            <w:pPr>
              <w:spacing w:before="0" w:after="0"/>
              <w:jc w:val="center"/>
              <w:rPr>
                <w:rFonts w:eastAsia="Calibri"/>
                <w:sz w:val="20"/>
                <w:szCs w:val="20"/>
              </w:rPr>
            </w:pPr>
          </w:p>
        </w:tc>
        <w:tc>
          <w:tcPr>
            <w:tcW w:w="752" w:type="pct"/>
            <w:shd w:val="pct25" w:color="auto" w:fill="auto"/>
            <w:vAlign w:val="center"/>
          </w:tcPr>
          <w:p w:rsidR="00BB31DD" w:rsidRPr="00687707" w:rsidRDefault="00BB31DD" w:rsidP="00687707">
            <w:pPr>
              <w:spacing w:before="0" w:after="0"/>
              <w:jc w:val="center"/>
              <w:rPr>
                <w:rFonts w:eastAsia="Calibri"/>
                <w:sz w:val="20"/>
                <w:szCs w:val="20"/>
              </w:rPr>
            </w:pPr>
          </w:p>
        </w:tc>
        <w:tc>
          <w:tcPr>
            <w:tcW w:w="751" w:type="pct"/>
            <w:shd w:val="clear" w:color="auto" w:fill="auto"/>
            <w:vAlign w:val="center"/>
          </w:tcPr>
          <w:p w:rsidR="00BB31DD" w:rsidRPr="00687707" w:rsidRDefault="00BB31DD" w:rsidP="00687707">
            <w:pPr>
              <w:spacing w:before="0" w:after="0"/>
              <w:jc w:val="center"/>
              <w:rPr>
                <w:rFonts w:eastAsia="Calibri"/>
                <w:sz w:val="20"/>
                <w:szCs w:val="20"/>
              </w:rPr>
            </w:pPr>
          </w:p>
        </w:tc>
        <w:tc>
          <w:tcPr>
            <w:tcW w:w="751" w:type="pct"/>
            <w:shd w:val="pct25" w:color="auto" w:fill="auto"/>
            <w:vAlign w:val="center"/>
          </w:tcPr>
          <w:p w:rsidR="00BB31DD" w:rsidRPr="00687707" w:rsidRDefault="00BB31DD" w:rsidP="00687707">
            <w:pPr>
              <w:spacing w:before="0" w:after="0"/>
              <w:jc w:val="center"/>
              <w:rPr>
                <w:rFonts w:eastAsia="Calibri"/>
                <w:sz w:val="20"/>
                <w:szCs w:val="20"/>
              </w:rPr>
            </w:pPr>
          </w:p>
        </w:tc>
        <w:tc>
          <w:tcPr>
            <w:tcW w:w="746" w:type="pct"/>
            <w:shd w:val="clear" w:color="auto" w:fill="auto"/>
            <w:vAlign w:val="center"/>
          </w:tcPr>
          <w:p w:rsidR="00BB31DD" w:rsidRPr="00687707" w:rsidRDefault="00BB31DD" w:rsidP="00687707">
            <w:pPr>
              <w:spacing w:before="0" w:after="0"/>
              <w:jc w:val="center"/>
              <w:rPr>
                <w:rFonts w:eastAsia="Calibri"/>
                <w:sz w:val="20"/>
                <w:szCs w:val="20"/>
              </w:rPr>
            </w:pPr>
          </w:p>
        </w:tc>
      </w:tr>
      <w:tr w:rsidR="00BB31DD" w:rsidRPr="0015605F" w:rsidTr="00687707">
        <w:tc>
          <w:tcPr>
            <w:tcW w:w="1248" w:type="pct"/>
            <w:shd w:val="clear" w:color="auto" w:fill="auto"/>
            <w:vAlign w:val="center"/>
          </w:tcPr>
          <w:p w:rsidR="00BB31DD" w:rsidRPr="00687707" w:rsidRDefault="00BB31DD" w:rsidP="00687707">
            <w:pPr>
              <w:spacing w:before="0" w:after="0"/>
              <w:jc w:val="left"/>
              <w:rPr>
                <w:rFonts w:eastAsia="Calibri"/>
                <w:b/>
                <w:sz w:val="20"/>
                <w:szCs w:val="20"/>
              </w:rPr>
            </w:pPr>
            <w:r w:rsidRPr="00687707">
              <w:rPr>
                <w:rFonts w:eastAsia="Calibri"/>
                <w:b/>
                <w:sz w:val="20"/>
                <w:szCs w:val="20"/>
              </w:rPr>
              <w:t>Heat pump combination  heaters</w:t>
            </w:r>
          </w:p>
        </w:tc>
        <w:tc>
          <w:tcPr>
            <w:tcW w:w="752" w:type="pct"/>
            <w:shd w:val="pct25" w:color="auto" w:fill="auto"/>
            <w:vAlign w:val="center"/>
          </w:tcPr>
          <w:p w:rsidR="00BB31DD" w:rsidRPr="00687707" w:rsidRDefault="00BB31DD" w:rsidP="00687707">
            <w:pPr>
              <w:spacing w:before="0" w:after="0"/>
              <w:jc w:val="center"/>
              <w:rPr>
                <w:rFonts w:eastAsia="Calibri"/>
                <w:sz w:val="20"/>
                <w:szCs w:val="20"/>
              </w:rPr>
            </w:pPr>
          </w:p>
        </w:tc>
        <w:tc>
          <w:tcPr>
            <w:tcW w:w="752" w:type="pct"/>
            <w:shd w:val="pct25" w:color="auto" w:fill="auto"/>
            <w:vAlign w:val="center"/>
          </w:tcPr>
          <w:p w:rsidR="00BB31DD" w:rsidRPr="00687707" w:rsidRDefault="00BB31DD" w:rsidP="00687707">
            <w:pPr>
              <w:spacing w:before="0" w:after="0"/>
              <w:jc w:val="center"/>
              <w:rPr>
                <w:rFonts w:eastAsia="Calibri"/>
                <w:sz w:val="20"/>
                <w:szCs w:val="20"/>
              </w:rPr>
            </w:pPr>
          </w:p>
        </w:tc>
        <w:tc>
          <w:tcPr>
            <w:tcW w:w="751" w:type="pct"/>
            <w:shd w:val="pct25" w:color="auto" w:fill="auto"/>
            <w:vAlign w:val="center"/>
          </w:tcPr>
          <w:p w:rsidR="00BB31DD" w:rsidRPr="00687707" w:rsidRDefault="00BB31DD" w:rsidP="00687707">
            <w:pPr>
              <w:spacing w:before="0" w:after="0"/>
              <w:jc w:val="center"/>
              <w:rPr>
                <w:rFonts w:eastAsia="Calibri"/>
                <w:sz w:val="20"/>
                <w:szCs w:val="20"/>
              </w:rPr>
            </w:pPr>
          </w:p>
        </w:tc>
        <w:tc>
          <w:tcPr>
            <w:tcW w:w="751" w:type="pct"/>
            <w:shd w:val="clear" w:color="auto" w:fill="auto"/>
            <w:vAlign w:val="center"/>
          </w:tcPr>
          <w:p w:rsidR="00BB31DD" w:rsidRPr="00687707" w:rsidRDefault="00BB31DD" w:rsidP="00687707">
            <w:pPr>
              <w:spacing w:before="0" w:after="0"/>
              <w:jc w:val="center"/>
              <w:rPr>
                <w:rFonts w:eastAsia="Calibri"/>
                <w:sz w:val="20"/>
                <w:szCs w:val="20"/>
              </w:rPr>
            </w:pPr>
          </w:p>
        </w:tc>
        <w:tc>
          <w:tcPr>
            <w:tcW w:w="746" w:type="pct"/>
            <w:shd w:val="clear" w:color="auto" w:fill="auto"/>
            <w:vAlign w:val="center"/>
          </w:tcPr>
          <w:p w:rsidR="00BB31DD" w:rsidRPr="00687707" w:rsidRDefault="00BB31DD" w:rsidP="00687707">
            <w:pPr>
              <w:spacing w:before="0" w:after="0"/>
              <w:jc w:val="center"/>
              <w:rPr>
                <w:rFonts w:eastAsia="Calibri"/>
                <w:sz w:val="20"/>
                <w:szCs w:val="20"/>
              </w:rPr>
            </w:pPr>
          </w:p>
        </w:tc>
      </w:tr>
      <w:tr w:rsidR="00BB31DD" w:rsidRPr="0015605F" w:rsidTr="00687707">
        <w:tc>
          <w:tcPr>
            <w:tcW w:w="1248" w:type="pct"/>
            <w:shd w:val="clear" w:color="auto" w:fill="auto"/>
            <w:vAlign w:val="center"/>
          </w:tcPr>
          <w:p w:rsidR="00BB31DD" w:rsidRPr="00687707" w:rsidRDefault="00BB31DD" w:rsidP="00687707">
            <w:pPr>
              <w:spacing w:before="0" w:after="0"/>
              <w:jc w:val="left"/>
              <w:rPr>
                <w:rFonts w:eastAsia="Calibri"/>
                <w:b/>
                <w:sz w:val="20"/>
                <w:szCs w:val="20"/>
              </w:rPr>
            </w:pPr>
            <w:r w:rsidRPr="00687707">
              <w:rPr>
                <w:rFonts w:eastAsia="Calibri"/>
                <w:b/>
                <w:sz w:val="20"/>
                <w:szCs w:val="20"/>
              </w:rPr>
              <w:t>Heat pump combination  heaters with fuel driven combustion unit</w:t>
            </w:r>
          </w:p>
        </w:tc>
        <w:tc>
          <w:tcPr>
            <w:tcW w:w="752" w:type="pct"/>
            <w:shd w:val="pct25" w:color="auto" w:fill="auto"/>
            <w:vAlign w:val="center"/>
          </w:tcPr>
          <w:p w:rsidR="00BB31DD" w:rsidRPr="00687707" w:rsidRDefault="00BB31DD" w:rsidP="00687707">
            <w:pPr>
              <w:spacing w:before="0" w:after="0"/>
              <w:jc w:val="center"/>
              <w:rPr>
                <w:rFonts w:eastAsia="Calibri"/>
                <w:sz w:val="20"/>
                <w:szCs w:val="20"/>
              </w:rPr>
            </w:pPr>
          </w:p>
        </w:tc>
        <w:tc>
          <w:tcPr>
            <w:tcW w:w="752" w:type="pct"/>
            <w:shd w:val="pct25" w:color="auto" w:fill="auto"/>
            <w:vAlign w:val="center"/>
          </w:tcPr>
          <w:p w:rsidR="00BB31DD" w:rsidRPr="00687707" w:rsidRDefault="00BB31DD" w:rsidP="00687707">
            <w:pPr>
              <w:spacing w:before="0" w:after="0"/>
              <w:jc w:val="center"/>
              <w:rPr>
                <w:rFonts w:eastAsia="Calibri"/>
                <w:sz w:val="20"/>
                <w:szCs w:val="20"/>
              </w:rPr>
            </w:pPr>
          </w:p>
        </w:tc>
        <w:tc>
          <w:tcPr>
            <w:tcW w:w="751" w:type="pct"/>
            <w:shd w:val="pct25" w:color="auto" w:fill="auto"/>
            <w:vAlign w:val="center"/>
          </w:tcPr>
          <w:p w:rsidR="00BB31DD" w:rsidRPr="00687707" w:rsidRDefault="00BB31DD" w:rsidP="00687707">
            <w:pPr>
              <w:spacing w:before="0" w:after="0"/>
              <w:jc w:val="center"/>
              <w:rPr>
                <w:rFonts w:eastAsia="Calibri"/>
                <w:sz w:val="20"/>
                <w:szCs w:val="20"/>
              </w:rPr>
            </w:pPr>
          </w:p>
        </w:tc>
        <w:tc>
          <w:tcPr>
            <w:tcW w:w="751" w:type="pct"/>
            <w:shd w:val="pct25" w:color="auto" w:fill="auto"/>
            <w:vAlign w:val="center"/>
          </w:tcPr>
          <w:p w:rsidR="00BB31DD" w:rsidRPr="00687707" w:rsidRDefault="00BB31DD" w:rsidP="00687707">
            <w:pPr>
              <w:spacing w:before="0" w:after="0"/>
              <w:jc w:val="center"/>
              <w:rPr>
                <w:rFonts w:eastAsia="Calibri"/>
                <w:sz w:val="20"/>
                <w:szCs w:val="20"/>
              </w:rPr>
            </w:pPr>
          </w:p>
        </w:tc>
        <w:tc>
          <w:tcPr>
            <w:tcW w:w="746" w:type="pct"/>
            <w:shd w:val="clear" w:color="auto" w:fill="auto"/>
            <w:vAlign w:val="center"/>
          </w:tcPr>
          <w:p w:rsidR="00BB31DD" w:rsidRPr="00687707" w:rsidRDefault="00BB31DD" w:rsidP="00687707">
            <w:pPr>
              <w:spacing w:before="0" w:after="0"/>
              <w:jc w:val="center"/>
              <w:rPr>
                <w:rFonts w:eastAsia="Calibri"/>
                <w:sz w:val="20"/>
                <w:szCs w:val="20"/>
              </w:rPr>
            </w:pPr>
          </w:p>
        </w:tc>
      </w:tr>
      <w:tr w:rsidR="00BB31DD" w:rsidRPr="0015605F" w:rsidTr="00687707">
        <w:tc>
          <w:tcPr>
            <w:tcW w:w="1248" w:type="pct"/>
            <w:shd w:val="clear" w:color="auto" w:fill="auto"/>
            <w:vAlign w:val="center"/>
          </w:tcPr>
          <w:p w:rsidR="00BB31DD" w:rsidRPr="00687707" w:rsidRDefault="00BB31DD" w:rsidP="00687707">
            <w:pPr>
              <w:spacing w:before="0" w:after="0"/>
              <w:jc w:val="left"/>
              <w:rPr>
                <w:rFonts w:eastAsia="Calibri"/>
                <w:b/>
                <w:sz w:val="20"/>
                <w:szCs w:val="20"/>
              </w:rPr>
            </w:pPr>
            <w:r w:rsidRPr="00687707">
              <w:rPr>
                <w:rFonts w:eastAsia="Calibri"/>
                <w:b/>
                <w:sz w:val="20"/>
                <w:szCs w:val="20"/>
              </w:rPr>
              <w:t>Water heaters (other than heat pumps)</w:t>
            </w:r>
          </w:p>
        </w:tc>
        <w:tc>
          <w:tcPr>
            <w:tcW w:w="752" w:type="pct"/>
            <w:shd w:val="clear" w:color="auto" w:fill="auto"/>
            <w:vAlign w:val="center"/>
          </w:tcPr>
          <w:p w:rsidR="00BB31DD" w:rsidRPr="00687707" w:rsidRDefault="00BB31DD" w:rsidP="00687707">
            <w:pPr>
              <w:spacing w:before="0" w:after="0"/>
              <w:jc w:val="center"/>
              <w:rPr>
                <w:rFonts w:eastAsia="Calibri"/>
                <w:sz w:val="20"/>
                <w:szCs w:val="20"/>
              </w:rPr>
            </w:pPr>
          </w:p>
        </w:tc>
        <w:tc>
          <w:tcPr>
            <w:tcW w:w="752" w:type="pct"/>
            <w:shd w:val="pct25" w:color="auto" w:fill="auto"/>
            <w:vAlign w:val="center"/>
          </w:tcPr>
          <w:p w:rsidR="00BB31DD" w:rsidRPr="00687707" w:rsidRDefault="00BB31DD" w:rsidP="00687707">
            <w:pPr>
              <w:spacing w:before="0" w:after="0"/>
              <w:jc w:val="center"/>
              <w:rPr>
                <w:rFonts w:eastAsia="Calibri"/>
                <w:sz w:val="20"/>
                <w:szCs w:val="20"/>
              </w:rPr>
            </w:pPr>
          </w:p>
        </w:tc>
        <w:tc>
          <w:tcPr>
            <w:tcW w:w="751" w:type="pct"/>
            <w:shd w:val="clear" w:color="auto" w:fill="auto"/>
            <w:vAlign w:val="center"/>
          </w:tcPr>
          <w:p w:rsidR="00BB31DD" w:rsidRPr="00687707" w:rsidRDefault="00BB31DD" w:rsidP="00687707">
            <w:pPr>
              <w:spacing w:before="0" w:after="0"/>
              <w:jc w:val="center"/>
              <w:rPr>
                <w:rFonts w:eastAsia="Calibri"/>
                <w:sz w:val="20"/>
                <w:szCs w:val="20"/>
              </w:rPr>
            </w:pPr>
          </w:p>
        </w:tc>
        <w:tc>
          <w:tcPr>
            <w:tcW w:w="751" w:type="pct"/>
            <w:shd w:val="pct25" w:color="auto" w:fill="auto"/>
            <w:vAlign w:val="center"/>
          </w:tcPr>
          <w:p w:rsidR="00BB31DD" w:rsidRPr="00687707" w:rsidRDefault="00BB31DD" w:rsidP="00687707">
            <w:pPr>
              <w:spacing w:before="0" w:after="0"/>
              <w:jc w:val="center"/>
              <w:rPr>
                <w:rFonts w:eastAsia="Calibri"/>
                <w:sz w:val="20"/>
                <w:szCs w:val="20"/>
              </w:rPr>
            </w:pPr>
          </w:p>
        </w:tc>
        <w:tc>
          <w:tcPr>
            <w:tcW w:w="746" w:type="pct"/>
            <w:shd w:val="clear" w:color="auto" w:fill="auto"/>
            <w:vAlign w:val="center"/>
          </w:tcPr>
          <w:p w:rsidR="00BB31DD" w:rsidRPr="00687707" w:rsidRDefault="00BB31DD" w:rsidP="00687707">
            <w:pPr>
              <w:spacing w:before="0" w:after="0"/>
              <w:jc w:val="center"/>
              <w:rPr>
                <w:rFonts w:eastAsia="Calibri"/>
                <w:sz w:val="20"/>
                <w:szCs w:val="20"/>
              </w:rPr>
            </w:pPr>
          </w:p>
        </w:tc>
      </w:tr>
      <w:tr w:rsidR="00BB31DD" w:rsidRPr="0015605F" w:rsidTr="00687707">
        <w:tc>
          <w:tcPr>
            <w:tcW w:w="1248" w:type="pct"/>
            <w:shd w:val="clear" w:color="auto" w:fill="auto"/>
            <w:vAlign w:val="center"/>
          </w:tcPr>
          <w:p w:rsidR="00BB31DD" w:rsidRPr="00687707" w:rsidRDefault="00BB31DD" w:rsidP="00687707">
            <w:pPr>
              <w:spacing w:before="0" w:after="0"/>
              <w:jc w:val="left"/>
              <w:rPr>
                <w:rFonts w:eastAsia="Calibri"/>
                <w:b/>
                <w:sz w:val="20"/>
                <w:szCs w:val="20"/>
              </w:rPr>
            </w:pPr>
            <w:r w:rsidRPr="00687707">
              <w:rPr>
                <w:rFonts w:eastAsia="Calibri"/>
                <w:b/>
                <w:sz w:val="20"/>
                <w:szCs w:val="20"/>
              </w:rPr>
              <w:t>Storage Water Heaters (other than heat pumps)</w:t>
            </w:r>
          </w:p>
        </w:tc>
        <w:tc>
          <w:tcPr>
            <w:tcW w:w="752" w:type="pct"/>
            <w:shd w:val="clear" w:color="auto" w:fill="auto"/>
            <w:vAlign w:val="center"/>
          </w:tcPr>
          <w:p w:rsidR="00BB31DD" w:rsidRPr="00687707" w:rsidRDefault="00BB31DD" w:rsidP="00687707">
            <w:pPr>
              <w:spacing w:before="0" w:after="0"/>
              <w:jc w:val="center"/>
              <w:rPr>
                <w:rFonts w:eastAsia="Calibri"/>
                <w:sz w:val="20"/>
                <w:szCs w:val="20"/>
              </w:rPr>
            </w:pPr>
          </w:p>
        </w:tc>
        <w:tc>
          <w:tcPr>
            <w:tcW w:w="752" w:type="pct"/>
            <w:shd w:val="pct25" w:color="auto" w:fill="auto"/>
            <w:vAlign w:val="center"/>
          </w:tcPr>
          <w:p w:rsidR="00BB31DD" w:rsidRPr="00687707" w:rsidRDefault="00BB31DD" w:rsidP="00687707">
            <w:pPr>
              <w:spacing w:before="0" w:after="0"/>
              <w:jc w:val="center"/>
              <w:rPr>
                <w:rFonts w:eastAsia="Calibri"/>
                <w:sz w:val="20"/>
                <w:szCs w:val="20"/>
              </w:rPr>
            </w:pPr>
          </w:p>
        </w:tc>
        <w:tc>
          <w:tcPr>
            <w:tcW w:w="751" w:type="pct"/>
            <w:shd w:val="clear" w:color="auto" w:fill="auto"/>
            <w:vAlign w:val="center"/>
          </w:tcPr>
          <w:p w:rsidR="00BB31DD" w:rsidRPr="00687707" w:rsidRDefault="00BB31DD" w:rsidP="00687707">
            <w:pPr>
              <w:spacing w:before="0" w:after="0"/>
              <w:jc w:val="center"/>
              <w:rPr>
                <w:rFonts w:eastAsia="Calibri"/>
                <w:sz w:val="20"/>
                <w:szCs w:val="20"/>
              </w:rPr>
            </w:pPr>
          </w:p>
        </w:tc>
        <w:tc>
          <w:tcPr>
            <w:tcW w:w="751" w:type="pct"/>
            <w:shd w:val="pct25" w:color="auto" w:fill="auto"/>
            <w:vAlign w:val="center"/>
          </w:tcPr>
          <w:p w:rsidR="00BB31DD" w:rsidRPr="00687707" w:rsidRDefault="00BB31DD" w:rsidP="00687707">
            <w:pPr>
              <w:spacing w:before="0" w:after="0"/>
              <w:jc w:val="center"/>
              <w:rPr>
                <w:rFonts w:eastAsia="Calibri"/>
                <w:sz w:val="20"/>
                <w:szCs w:val="20"/>
              </w:rPr>
            </w:pPr>
          </w:p>
        </w:tc>
        <w:tc>
          <w:tcPr>
            <w:tcW w:w="746" w:type="pct"/>
            <w:shd w:val="clear" w:color="auto" w:fill="auto"/>
            <w:vAlign w:val="center"/>
          </w:tcPr>
          <w:p w:rsidR="00BB31DD" w:rsidRPr="00687707" w:rsidRDefault="00BB31DD" w:rsidP="00687707">
            <w:pPr>
              <w:spacing w:before="0" w:after="0"/>
              <w:jc w:val="center"/>
              <w:rPr>
                <w:rFonts w:eastAsia="Calibri"/>
                <w:sz w:val="20"/>
                <w:szCs w:val="20"/>
              </w:rPr>
            </w:pPr>
          </w:p>
        </w:tc>
      </w:tr>
      <w:tr w:rsidR="00BB31DD" w:rsidRPr="0015605F" w:rsidTr="00687707">
        <w:tc>
          <w:tcPr>
            <w:tcW w:w="1248" w:type="pct"/>
            <w:shd w:val="clear" w:color="auto" w:fill="auto"/>
            <w:vAlign w:val="center"/>
          </w:tcPr>
          <w:p w:rsidR="00BB31DD" w:rsidRPr="00687707" w:rsidRDefault="00BB31DD" w:rsidP="00687707">
            <w:pPr>
              <w:spacing w:before="0" w:after="0"/>
              <w:jc w:val="left"/>
              <w:rPr>
                <w:rFonts w:eastAsia="Calibri"/>
                <w:b/>
                <w:sz w:val="20"/>
                <w:szCs w:val="20"/>
              </w:rPr>
            </w:pPr>
            <w:r w:rsidRPr="00687707">
              <w:rPr>
                <w:rFonts w:eastAsia="Calibri"/>
                <w:b/>
                <w:sz w:val="20"/>
                <w:szCs w:val="20"/>
              </w:rPr>
              <w:t>Heat pump Water heaters</w:t>
            </w:r>
          </w:p>
        </w:tc>
        <w:tc>
          <w:tcPr>
            <w:tcW w:w="752" w:type="pct"/>
            <w:shd w:val="clear" w:color="auto" w:fill="auto"/>
            <w:vAlign w:val="center"/>
          </w:tcPr>
          <w:p w:rsidR="00BB31DD" w:rsidRPr="00687707" w:rsidRDefault="00BB31DD" w:rsidP="00687707">
            <w:pPr>
              <w:spacing w:before="0" w:after="0"/>
              <w:jc w:val="center"/>
              <w:rPr>
                <w:rFonts w:eastAsia="Calibri"/>
                <w:sz w:val="20"/>
                <w:szCs w:val="20"/>
              </w:rPr>
            </w:pPr>
          </w:p>
        </w:tc>
        <w:tc>
          <w:tcPr>
            <w:tcW w:w="752" w:type="pct"/>
            <w:shd w:val="pct25" w:color="auto" w:fill="auto"/>
            <w:vAlign w:val="center"/>
          </w:tcPr>
          <w:p w:rsidR="00BB31DD" w:rsidRPr="00687707" w:rsidRDefault="00BB31DD" w:rsidP="00687707">
            <w:pPr>
              <w:spacing w:before="0" w:after="0"/>
              <w:jc w:val="center"/>
              <w:rPr>
                <w:rFonts w:eastAsia="Calibri"/>
                <w:sz w:val="20"/>
                <w:szCs w:val="20"/>
              </w:rPr>
            </w:pPr>
          </w:p>
        </w:tc>
        <w:tc>
          <w:tcPr>
            <w:tcW w:w="751" w:type="pct"/>
            <w:shd w:val="pct25" w:color="auto" w:fill="auto"/>
            <w:vAlign w:val="center"/>
          </w:tcPr>
          <w:p w:rsidR="00BB31DD" w:rsidRPr="00687707" w:rsidRDefault="00BB31DD" w:rsidP="00687707">
            <w:pPr>
              <w:spacing w:before="0" w:after="0"/>
              <w:jc w:val="center"/>
              <w:rPr>
                <w:rFonts w:eastAsia="Calibri"/>
                <w:sz w:val="20"/>
                <w:szCs w:val="20"/>
              </w:rPr>
            </w:pPr>
          </w:p>
        </w:tc>
        <w:tc>
          <w:tcPr>
            <w:tcW w:w="751" w:type="pct"/>
            <w:shd w:val="clear" w:color="auto" w:fill="auto"/>
            <w:vAlign w:val="center"/>
          </w:tcPr>
          <w:p w:rsidR="00BB31DD" w:rsidRPr="00687707" w:rsidRDefault="00BB31DD" w:rsidP="00687707">
            <w:pPr>
              <w:spacing w:before="0" w:after="0"/>
              <w:jc w:val="center"/>
              <w:rPr>
                <w:rFonts w:eastAsia="Calibri"/>
                <w:sz w:val="20"/>
                <w:szCs w:val="20"/>
              </w:rPr>
            </w:pPr>
          </w:p>
        </w:tc>
        <w:tc>
          <w:tcPr>
            <w:tcW w:w="746" w:type="pct"/>
            <w:shd w:val="clear" w:color="auto" w:fill="auto"/>
            <w:vAlign w:val="center"/>
          </w:tcPr>
          <w:p w:rsidR="00BB31DD" w:rsidRPr="00687707" w:rsidRDefault="00BB31DD" w:rsidP="00687707">
            <w:pPr>
              <w:spacing w:before="0" w:after="0"/>
              <w:jc w:val="center"/>
              <w:rPr>
                <w:rFonts w:eastAsia="Calibri"/>
                <w:sz w:val="20"/>
                <w:szCs w:val="20"/>
              </w:rPr>
            </w:pPr>
          </w:p>
        </w:tc>
      </w:tr>
      <w:tr w:rsidR="00BB31DD" w:rsidRPr="0015605F" w:rsidTr="00687707">
        <w:tc>
          <w:tcPr>
            <w:tcW w:w="1248" w:type="pct"/>
            <w:shd w:val="clear" w:color="auto" w:fill="auto"/>
            <w:vAlign w:val="center"/>
          </w:tcPr>
          <w:p w:rsidR="00BB31DD" w:rsidRPr="00687707" w:rsidRDefault="00BB31DD" w:rsidP="00687707">
            <w:pPr>
              <w:spacing w:before="0" w:after="0"/>
              <w:jc w:val="left"/>
              <w:rPr>
                <w:rFonts w:eastAsia="Calibri"/>
                <w:b/>
                <w:sz w:val="20"/>
                <w:szCs w:val="20"/>
              </w:rPr>
            </w:pPr>
            <w:r w:rsidRPr="00687707">
              <w:rPr>
                <w:rFonts w:eastAsia="Calibri"/>
                <w:b/>
                <w:sz w:val="20"/>
                <w:szCs w:val="20"/>
              </w:rPr>
              <w:t>Heat Pump Storage Water Heaters</w:t>
            </w:r>
          </w:p>
        </w:tc>
        <w:tc>
          <w:tcPr>
            <w:tcW w:w="752" w:type="pct"/>
            <w:shd w:val="clear" w:color="auto" w:fill="auto"/>
            <w:vAlign w:val="center"/>
          </w:tcPr>
          <w:p w:rsidR="00BB31DD" w:rsidRPr="00687707" w:rsidRDefault="00BB31DD" w:rsidP="00687707">
            <w:pPr>
              <w:spacing w:before="0" w:after="0"/>
              <w:jc w:val="center"/>
              <w:rPr>
                <w:rFonts w:eastAsia="Calibri"/>
                <w:sz w:val="20"/>
                <w:szCs w:val="20"/>
              </w:rPr>
            </w:pPr>
          </w:p>
        </w:tc>
        <w:tc>
          <w:tcPr>
            <w:tcW w:w="752" w:type="pct"/>
            <w:shd w:val="pct25" w:color="auto" w:fill="auto"/>
            <w:vAlign w:val="center"/>
          </w:tcPr>
          <w:p w:rsidR="00BB31DD" w:rsidRPr="00687707" w:rsidRDefault="00BB31DD" w:rsidP="00687707">
            <w:pPr>
              <w:spacing w:before="0" w:after="0"/>
              <w:jc w:val="center"/>
              <w:rPr>
                <w:rFonts w:eastAsia="Calibri"/>
                <w:sz w:val="20"/>
                <w:szCs w:val="20"/>
              </w:rPr>
            </w:pPr>
          </w:p>
        </w:tc>
        <w:tc>
          <w:tcPr>
            <w:tcW w:w="751" w:type="pct"/>
            <w:shd w:val="pct25" w:color="auto" w:fill="auto"/>
            <w:vAlign w:val="center"/>
          </w:tcPr>
          <w:p w:rsidR="00BB31DD" w:rsidRPr="00687707" w:rsidRDefault="00BB31DD" w:rsidP="00687707">
            <w:pPr>
              <w:spacing w:before="0" w:after="0"/>
              <w:jc w:val="center"/>
              <w:rPr>
                <w:rFonts w:eastAsia="Calibri"/>
                <w:sz w:val="20"/>
                <w:szCs w:val="20"/>
              </w:rPr>
            </w:pPr>
          </w:p>
        </w:tc>
        <w:tc>
          <w:tcPr>
            <w:tcW w:w="751" w:type="pct"/>
            <w:shd w:val="clear" w:color="auto" w:fill="auto"/>
            <w:vAlign w:val="center"/>
          </w:tcPr>
          <w:p w:rsidR="00BB31DD" w:rsidRPr="00687707" w:rsidRDefault="00BB31DD" w:rsidP="00687707">
            <w:pPr>
              <w:spacing w:before="0" w:after="0"/>
              <w:jc w:val="center"/>
              <w:rPr>
                <w:rFonts w:eastAsia="Calibri"/>
                <w:sz w:val="20"/>
                <w:szCs w:val="20"/>
              </w:rPr>
            </w:pPr>
          </w:p>
        </w:tc>
        <w:tc>
          <w:tcPr>
            <w:tcW w:w="746" w:type="pct"/>
            <w:shd w:val="clear" w:color="auto" w:fill="auto"/>
            <w:vAlign w:val="center"/>
          </w:tcPr>
          <w:p w:rsidR="00BB31DD" w:rsidRPr="00687707" w:rsidRDefault="00BB31DD" w:rsidP="00687707">
            <w:pPr>
              <w:spacing w:before="0" w:after="0"/>
              <w:jc w:val="center"/>
              <w:rPr>
                <w:rFonts w:eastAsia="Calibri"/>
                <w:sz w:val="20"/>
                <w:szCs w:val="20"/>
              </w:rPr>
            </w:pPr>
          </w:p>
        </w:tc>
      </w:tr>
      <w:tr w:rsidR="00BB31DD" w:rsidRPr="0015605F" w:rsidTr="00687707">
        <w:tc>
          <w:tcPr>
            <w:tcW w:w="1248" w:type="pct"/>
            <w:shd w:val="clear" w:color="auto" w:fill="auto"/>
            <w:vAlign w:val="center"/>
          </w:tcPr>
          <w:p w:rsidR="00BB31DD" w:rsidRPr="00687707" w:rsidRDefault="00BB31DD" w:rsidP="00687707">
            <w:pPr>
              <w:spacing w:before="0" w:after="0"/>
              <w:jc w:val="left"/>
              <w:rPr>
                <w:rFonts w:eastAsia="Calibri"/>
                <w:b/>
                <w:sz w:val="20"/>
                <w:szCs w:val="20"/>
              </w:rPr>
            </w:pPr>
            <w:r w:rsidRPr="00687707">
              <w:rPr>
                <w:rFonts w:eastAsia="Calibri"/>
                <w:b/>
                <w:sz w:val="20"/>
                <w:szCs w:val="20"/>
              </w:rPr>
              <w:t xml:space="preserve">Heat pump Water heaters with fuel </w:t>
            </w:r>
            <w:r w:rsidRPr="00687707">
              <w:rPr>
                <w:rFonts w:eastAsia="Calibri"/>
                <w:b/>
                <w:sz w:val="20"/>
                <w:szCs w:val="20"/>
              </w:rPr>
              <w:lastRenderedPageBreak/>
              <w:t>driven combustion unit</w:t>
            </w:r>
          </w:p>
        </w:tc>
        <w:tc>
          <w:tcPr>
            <w:tcW w:w="752" w:type="pct"/>
            <w:shd w:val="clear" w:color="auto" w:fill="auto"/>
            <w:vAlign w:val="center"/>
          </w:tcPr>
          <w:p w:rsidR="00BB31DD" w:rsidRPr="00687707" w:rsidRDefault="00BB31DD" w:rsidP="00687707">
            <w:pPr>
              <w:spacing w:before="0" w:after="0"/>
              <w:jc w:val="center"/>
              <w:rPr>
                <w:rFonts w:eastAsia="Calibri"/>
                <w:sz w:val="20"/>
                <w:szCs w:val="20"/>
              </w:rPr>
            </w:pPr>
          </w:p>
        </w:tc>
        <w:tc>
          <w:tcPr>
            <w:tcW w:w="752" w:type="pct"/>
            <w:shd w:val="pct25" w:color="auto" w:fill="auto"/>
            <w:vAlign w:val="center"/>
          </w:tcPr>
          <w:p w:rsidR="00BB31DD" w:rsidRPr="00687707" w:rsidRDefault="00BB31DD" w:rsidP="00687707">
            <w:pPr>
              <w:spacing w:before="0" w:after="0"/>
              <w:jc w:val="center"/>
              <w:rPr>
                <w:rFonts w:eastAsia="Calibri"/>
                <w:sz w:val="20"/>
                <w:szCs w:val="20"/>
              </w:rPr>
            </w:pPr>
          </w:p>
        </w:tc>
        <w:tc>
          <w:tcPr>
            <w:tcW w:w="751" w:type="pct"/>
            <w:shd w:val="pct25" w:color="auto" w:fill="auto"/>
            <w:vAlign w:val="center"/>
          </w:tcPr>
          <w:p w:rsidR="00BB31DD" w:rsidRPr="00687707" w:rsidRDefault="00BB31DD" w:rsidP="00687707">
            <w:pPr>
              <w:spacing w:before="0" w:after="0"/>
              <w:jc w:val="center"/>
              <w:rPr>
                <w:rFonts w:eastAsia="Calibri"/>
                <w:sz w:val="20"/>
                <w:szCs w:val="20"/>
              </w:rPr>
            </w:pPr>
          </w:p>
        </w:tc>
        <w:tc>
          <w:tcPr>
            <w:tcW w:w="751" w:type="pct"/>
            <w:shd w:val="pct25" w:color="auto" w:fill="auto"/>
            <w:vAlign w:val="center"/>
          </w:tcPr>
          <w:p w:rsidR="00BB31DD" w:rsidRPr="00687707" w:rsidRDefault="00BB31DD" w:rsidP="00687707">
            <w:pPr>
              <w:spacing w:before="0" w:after="0"/>
              <w:jc w:val="center"/>
              <w:rPr>
                <w:rFonts w:eastAsia="Calibri"/>
                <w:sz w:val="20"/>
                <w:szCs w:val="20"/>
              </w:rPr>
            </w:pPr>
          </w:p>
        </w:tc>
        <w:tc>
          <w:tcPr>
            <w:tcW w:w="746" w:type="pct"/>
            <w:shd w:val="clear" w:color="auto" w:fill="auto"/>
            <w:vAlign w:val="center"/>
          </w:tcPr>
          <w:p w:rsidR="00BB31DD" w:rsidRPr="00687707" w:rsidRDefault="00BB31DD" w:rsidP="00687707">
            <w:pPr>
              <w:spacing w:before="0" w:after="0"/>
              <w:jc w:val="center"/>
              <w:rPr>
                <w:rFonts w:eastAsia="Calibri"/>
                <w:sz w:val="20"/>
                <w:szCs w:val="20"/>
              </w:rPr>
            </w:pPr>
          </w:p>
        </w:tc>
      </w:tr>
      <w:tr w:rsidR="00BB31DD" w:rsidRPr="0015605F" w:rsidTr="00687707">
        <w:tc>
          <w:tcPr>
            <w:tcW w:w="1248" w:type="pct"/>
            <w:shd w:val="clear" w:color="auto" w:fill="auto"/>
            <w:vAlign w:val="center"/>
          </w:tcPr>
          <w:p w:rsidR="00BB31DD" w:rsidRPr="00687707" w:rsidRDefault="00BB31DD" w:rsidP="00687707">
            <w:pPr>
              <w:spacing w:before="0" w:after="0"/>
              <w:jc w:val="left"/>
              <w:rPr>
                <w:rFonts w:eastAsia="Calibri"/>
                <w:b/>
                <w:sz w:val="20"/>
                <w:szCs w:val="20"/>
              </w:rPr>
            </w:pPr>
            <w:r w:rsidRPr="00687707">
              <w:rPr>
                <w:rFonts w:eastAsia="Calibri"/>
                <w:b/>
                <w:sz w:val="20"/>
                <w:szCs w:val="20"/>
              </w:rPr>
              <w:lastRenderedPageBreak/>
              <w:t>Heat Pump Storage Water Heaters with fuel driven combustion unit</w:t>
            </w:r>
          </w:p>
        </w:tc>
        <w:tc>
          <w:tcPr>
            <w:tcW w:w="752" w:type="pct"/>
            <w:shd w:val="clear" w:color="auto" w:fill="auto"/>
            <w:vAlign w:val="center"/>
          </w:tcPr>
          <w:p w:rsidR="00BB31DD" w:rsidRPr="00687707" w:rsidRDefault="00BB31DD" w:rsidP="00687707">
            <w:pPr>
              <w:spacing w:before="0" w:after="0"/>
              <w:jc w:val="center"/>
              <w:rPr>
                <w:rFonts w:eastAsia="Calibri"/>
                <w:sz w:val="20"/>
                <w:szCs w:val="20"/>
              </w:rPr>
            </w:pPr>
          </w:p>
        </w:tc>
        <w:tc>
          <w:tcPr>
            <w:tcW w:w="752" w:type="pct"/>
            <w:shd w:val="pct25" w:color="auto" w:fill="auto"/>
            <w:vAlign w:val="center"/>
          </w:tcPr>
          <w:p w:rsidR="00BB31DD" w:rsidRPr="00687707" w:rsidRDefault="00BB31DD" w:rsidP="00687707">
            <w:pPr>
              <w:spacing w:before="0" w:after="0"/>
              <w:jc w:val="center"/>
              <w:rPr>
                <w:rFonts w:eastAsia="Calibri"/>
                <w:sz w:val="20"/>
                <w:szCs w:val="20"/>
              </w:rPr>
            </w:pPr>
          </w:p>
        </w:tc>
        <w:tc>
          <w:tcPr>
            <w:tcW w:w="751" w:type="pct"/>
            <w:shd w:val="pct25" w:color="auto" w:fill="auto"/>
            <w:vAlign w:val="center"/>
          </w:tcPr>
          <w:p w:rsidR="00BB31DD" w:rsidRPr="00687707" w:rsidRDefault="00BB31DD" w:rsidP="00687707">
            <w:pPr>
              <w:spacing w:before="0" w:after="0"/>
              <w:jc w:val="center"/>
              <w:rPr>
                <w:rFonts w:eastAsia="Calibri"/>
                <w:sz w:val="20"/>
                <w:szCs w:val="20"/>
              </w:rPr>
            </w:pPr>
          </w:p>
        </w:tc>
        <w:tc>
          <w:tcPr>
            <w:tcW w:w="751" w:type="pct"/>
            <w:shd w:val="pct25" w:color="auto" w:fill="auto"/>
            <w:vAlign w:val="center"/>
          </w:tcPr>
          <w:p w:rsidR="00BB31DD" w:rsidRPr="00687707" w:rsidRDefault="00BB31DD" w:rsidP="00687707">
            <w:pPr>
              <w:spacing w:before="0" w:after="0"/>
              <w:jc w:val="center"/>
              <w:rPr>
                <w:rFonts w:eastAsia="Calibri"/>
                <w:sz w:val="20"/>
                <w:szCs w:val="20"/>
              </w:rPr>
            </w:pPr>
          </w:p>
        </w:tc>
        <w:tc>
          <w:tcPr>
            <w:tcW w:w="746" w:type="pct"/>
            <w:shd w:val="clear" w:color="auto" w:fill="auto"/>
            <w:vAlign w:val="center"/>
          </w:tcPr>
          <w:p w:rsidR="00BB31DD" w:rsidRPr="00687707" w:rsidRDefault="00BB31DD" w:rsidP="00687707">
            <w:pPr>
              <w:spacing w:before="0" w:after="0"/>
              <w:jc w:val="center"/>
              <w:rPr>
                <w:rFonts w:eastAsia="Calibri"/>
                <w:sz w:val="20"/>
                <w:szCs w:val="20"/>
              </w:rPr>
            </w:pPr>
          </w:p>
        </w:tc>
      </w:tr>
      <w:tr w:rsidR="00BB31DD" w:rsidRPr="0015605F" w:rsidTr="00687707">
        <w:tc>
          <w:tcPr>
            <w:tcW w:w="1248" w:type="pct"/>
            <w:shd w:val="clear" w:color="auto" w:fill="auto"/>
            <w:vAlign w:val="center"/>
          </w:tcPr>
          <w:p w:rsidR="00BB31DD" w:rsidRPr="00687707" w:rsidRDefault="00BB31DD" w:rsidP="00687707">
            <w:pPr>
              <w:spacing w:before="0" w:after="0"/>
              <w:jc w:val="left"/>
              <w:rPr>
                <w:rFonts w:eastAsia="Calibri"/>
                <w:b/>
                <w:sz w:val="20"/>
                <w:szCs w:val="20"/>
              </w:rPr>
            </w:pPr>
            <w:r w:rsidRPr="00687707">
              <w:rPr>
                <w:rFonts w:eastAsia="Calibri"/>
                <w:b/>
                <w:sz w:val="20"/>
                <w:szCs w:val="20"/>
              </w:rPr>
              <w:t>Hot Water Storage Tanks</w:t>
            </w:r>
          </w:p>
        </w:tc>
        <w:tc>
          <w:tcPr>
            <w:tcW w:w="752" w:type="pct"/>
            <w:shd w:val="clear" w:color="auto" w:fill="auto"/>
            <w:vAlign w:val="center"/>
          </w:tcPr>
          <w:p w:rsidR="00BB31DD" w:rsidRPr="00687707" w:rsidRDefault="00BB31DD" w:rsidP="00687707">
            <w:pPr>
              <w:spacing w:before="0" w:after="0"/>
              <w:jc w:val="center"/>
              <w:rPr>
                <w:rFonts w:eastAsia="Calibri"/>
                <w:sz w:val="20"/>
                <w:szCs w:val="20"/>
              </w:rPr>
            </w:pPr>
          </w:p>
        </w:tc>
        <w:tc>
          <w:tcPr>
            <w:tcW w:w="752" w:type="pct"/>
            <w:shd w:val="clear" w:color="auto" w:fill="auto"/>
            <w:vAlign w:val="center"/>
          </w:tcPr>
          <w:p w:rsidR="00BB31DD" w:rsidRPr="00687707" w:rsidRDefault="00BB31DD" w:rsidP="00687707">
            <w:pPr>
              <w:spacing w:before="0" w:after="0"/>
              <w:jc w:val="center"/>
              <w:rPr>
                <w:rFonts w:eastAsia="Calibri"/>
                <w:sz w:val="20"/>
                <w:szCs w:val="20"/>
              </w:rPr>
            </w:pPr>
          </w:p>
        </w:tc>
        <w:tc>
          <w:tcPr>
            <w:tcW w:w="751" w:type="pct"/>
            <w:shd w:val="clear" w:color="auto" w:fill="auto"/>
            <w:vAlign w:val="center"/>
          </w:tcPr>
          <w:p w:rsidR="00BB31DD" w:rsidRPr="00687707" w:rsidRDefault="00BB31DD" w:rsidP="00687707">
            <w:pPr>
              <w:spacing w:before="0" w:after="0"/>
              <w:jc w:val="center"/>
              <w:rPr>
                <w:rFonts w:eastAsia="Calibri"/>
                <w:sz w:val="20"/>
                <w:szCs w:val="20"/>
              </w:rPr>
            </w:pPr>
          </w:p>
        </w:tc>
        <w:tc>
          <w:tcPr>
            <w:tcW w:w="751" w:type="pct"/>
            <w:shd w:val="clear" w:color="auto" w:fill="auto"/>
            <w:vAlign w:val="center"/>
          </w:tcPr>
          <w:p w:rsidR="00BB31DD" w:rsidRPr="00687707" w:rsidRDefault="00BB31DD" w:rsidP="00687707">
            <w:pPr>
              <w:spacing w:before="0" w:after="0"/>
              <w:jc w:val="center"/>
              <w:rPr>
                <w:rFonts w:eastAsia="Calibri"/>
                <w:sz w:val="20"/>
                <w:szCs w:val="20"/>
              </w:rPr>
            </w:pPr>
          </w:p>
        </w:tc>
        <w:tc>
          <w:tcPr>
            <w:tcW w:w="746" w:type="pct"/>
            <w:shd w:val="pct25" w:color="auto" w:fill="auto"/>
            <w:vAlign w:val="center"/>
          </w:tcPr>
          <w:p w:rsidR="00BB31DD" w:rsidRPr="00687707" w:rsidRDefault="00BB31DD" w:rsidP="00687707">
            <w:pPr>
              <w:spacing w:before="0" w:after="0"/>
              <w:jc w:val="center"/>
              <w:rPr>
                <w:rFonts w:eastAsia="Calibri"/>
                <w:sz w:val="20"/>
                <w:szCs w:val="20"/>
              </w:rPr>
            </w:pPr>
          </w:p>
        </w:tc>
      </w:tr>
    </w:tbl>
    <w:p w:rsidR="00FA4D22" w:rsidRPr="0015605F" w:rsidRDefault="00FA4D22" w:rsidP="00FA4D22">
      <w:r w:rsidRPr="0015605F">
        <w:t>For most of the criteria the requirements have been differentiated according to the size of the product</w:t>
      </w:r>
      <w:r>
        <w:t>.</w:t>
      </w:r>
    </w:p>
    <w:p w:rsidR="00FA4D22" w:rsidRPr="0015605F" w:rsidRDefault="00FA4D22" w:rsidP="00017752">
      <w:pPr>
        <w:pStyle w:val="Heading2"/>
      </w:pPr>
      <w:bookmarkStart w:id="30" w:name="_Toc372979424"/>
      <w:bookmarkStart w:id="31" w:name="_Toc372979467"/>
      <w:bookmarkStart w:id="32" w:name="_Toc385484874"/>
      <w:bookmarkStart w:id="33" w:name="_Toc402443618"/>
      <w:r w:rsidRPr="0015605F">
        <w:t>Labelling requirements</w:t>
      </w:r>
      <w:bookmarkEnd w:id="30"/>
      <w:bookmarkEnd w:id="31"/>
      <w:r>
        <w:t xml:space="preserve"> for single products</w:t>
      </w:r>
      <w:bookmarkEnd w:id="32"/>
      <w:bookmarkEnd w:id="33"/>
    </w:p>
    <w:p w:rsidR="00432FE3" w:rsidRDefault="00FA4D22" w:rsidP="00FA4D22">
      <w:r w:rsidRPr="0015605F">
        <w:t>The labelling requirements address manufacture</w:t>
      </w:r>
      <w:r w:rsidR="00432FE3">
        <w:t>r</w:t>
      </w:r>
      <w:r w:rsidRPr="0015605F">
        <w:t xml:space="preserve">s as well as retailers to ensure the </w:t>
      </w:r>
      <w:r>
        <w:t xml:space="preserve">correct and consistent </w:t>
      </w:r>
      <w:r w:rsidRPr="0015605F">
        <w:t xml:space="preserve">use of the label </w:t>
      </w:r>
      <w:r>
        <w:t xml:space="preserve">throughout </w:t>
      </w:r>
      <w:r w:rsidR="00432FE3">
        <w:t>the supply chain.</w:t>
      </w:r>
    </w:p>
    <w:p w:rsidR="00FA4D22" w:rsidRDefault="00432FE3" w:rsidP="00FA4D22">
      <w:r>
        <w:t>For space heaters, t</w:t>
      </w:r>
      <w:r w:rsidR="00FA4D22">
        <w:t xml:space="preserve">he energy </w:t>
      </w:r>
      <w:r w:rsidR="00FA4D22" w:rsidRPr="0015605F">
        <w:t xml:space="preserve">efficiency </w:t>
      </w:r>
      <w:r w:rsidR="00FA4D22">
        <w:t xml:space="preserve">labels </w:t>
      </w:r>
      <w:r>
        <w:t xml:space="preserve">coming into force in 2015 </w:t>
      </w:r>
      <w:r w:rsidR="00FA4D22">
        <w:t xml:space="preserve">go from </w:t>
      </w:r>
      <w:r w:rsidR="00FA4D22" w:rsidRPr="0015605F">
        <w:t>G to A</w:t>
      </w:r>
      <w:r w:rsidR="00FA4D22" w:rsidRPr="00432FE3">
        <w:rPr>
          <w:vertAlign w:val="superscript"/>
        </w:rPr>
        <w:t>++</w:t>
      </w:r>
      <w:r w:rsidR="00FA4D22" w:rsidRPr="0015605F">
        <w:t xml:space="preserve">. </w:t>
      </w:r>
      <w:r>
        <w:t>In 2019, after the review of the Regulation, a new</w:t>
      </w:r>
      <w:r w:rsidR="00FA4D22" w:rsidRPr="0015605F">
        <w:t xml:space="preserve"> A</w:t>
      </w:r>
      <w:r w:rsidR="00FA4D22" w:rsidRPr="00432FE3">
        <w:rPr>
          <w:vertAlign w:val="superscript"/>
        </w:rPr>
        <w:t>+++</w:t>
      </w:r>
      <w:r w:rsidR="00FA4D22" w:rsidRPr="0015605F">
        <w:t xml:space="preserve"> class will be added</w:t>
      </w:r>
      <w:r w:rsidR="00FA4D22">
        <w:t xml:space="preserve">. </w:t>
      </w:r>
      <w:r w:rsidR="0012106F">
        <w:t>In addition</w:t>
      </w:r>
      <w:r w:rsidR="005D2179">
        <w:t>,</w:t>
      </w:r>
      <w:r w:rsidR="0012106F">
        <w:t xml:space="preserve"> the ecodesign</w:t>
      </w:r>
      <w:r w:rsidR="00FA4D22" w:rsidRPr="0015605F">
        <w:t xml:space="preserve"> requirements</w:t>
      </w:r>
      <w:r w:rsidR="00FA4D22">
        <w:t xml:space="preserve"> should lead to the lowest scoring products becoming </w:t>
      </w:r>
      <w:r w:rsidR="00FA4D22" w:rsidRPr="0015605F">
        <w:t>obsolete</w:t>
      </w:r>
      <w:r w:rsidR="00FA4D22">
        <w:t>.</w:t>
      </w:r>
    </w:p>
    <w:p w:rsidR="00E744B7" w:rsidRPr="0015605F" w:rsidRDefault="00E744B7" w:rsidP="00FA4D22">
      <w:r>
        <w:t>In the case of water heater</w:t>
      </w:r>
      <w:r w:rsidR="00231974">
        <w:t>s</w:t>
      </w:r>
      <w:r>
        <w:t>, or combination heaters (for the water heating energy efficiency) the energy labelling scheme coming into force in 2015 goes from G to A, being modified to F to A</w:t>
      </w:r>
      <w:r w:rsidRPr="00E744B7">
        <w:rPr>
          <w:vertAlign w:val="superscript"/>
        </w:rPr>
        <w:t>+</w:t>
      </w:r>
      <w:r>
        <w:t xml:space="preserve"> in 2017.</w:t>
      </w:r>
    </w:p>
    <w:p w:rsidR="00FA4D22" w:rsidRPr="0015605F" w:rsidRDefault="00FA4D22" w:rsidP="00FA4D22">
      <w:r w:rsidRPr="0015605F">
        <w:t xml:space="preserve">From </w:t>
      </w:r>
      <w:r w:rsidR="005D2179">
        <w:t xml:space="preserve">26 </w:t>
      </w:r>
      <w:r w:rsidRPr="0015605F">
        <w:t>September, 2015 manufacturers have to consider the following issues regarding labelling and information:</w:t>
      </w:r>
    </w:p>
    <w:p w:rsidR="00FA4D22" w:rsidRPr="00E744B7" w:rsidRDefault="00FA4D22" w:rsidP="00687707">
      <w:pPr>
        <w:numPr>
          <w:ilvl w:val="0"/>
          <w:numId w:val="19"/>
        </w:numPr>
      </w:pPr>
      <w:r w:rsidRPr="00E744B7">
        <w:t xml:space="preserve">For each space heater, a printed energy label in accordance with the </w:t>
      </w:r>
      <w:r w:rsidR="003E5799">
        <w:t>regulation</w:t>
      </w:r>
      <w:r w:rsidR="003E5799" w:rsidRPr="00E744B7">
        <w:t xml:space="preserve"> </w:t>
      </w:r>
      <w:r w:rsidRPr="00E744B7">
        <w:t xml:space="preserve">has to be provided. There are special provisions for several categories of space heaters defined in the </w:t>
      </w:r>
      <w:r w:rsidR="003E5799">
        <w:t>regulation</w:t>
      </w:r>
      <w:r w:rsidRPr="00E744B7">
        <w:t>.</w:t>
      </w:r>
    </w:p>
    <w:p w:rsidR="004347CC" w:rsidRDefault="00FA4D22" w:rsidP="004347CC">
      <w:pPr>
        <w:numPr>
          <w:ilvl w:val="0"/>
          <w:numId w:val="19"/>
        </w:numPr>
      </w:pPr>
      <w:r w:rsidRPr="00E744B7">
        <w:t>A product fiche has to be provided.</w:t>
      </w:r>
    </w:p>
    <w:p w:rsidR="00FA4D22" w:rsidRPr="00E744B7" w:rsidRDefault="00FA4D22" w:rsidP="004347CC">
      <w:pPr>
        <w:numPr>
          <w:ilvl w:val="0"/>
          <w:numId w:val="19"/>
        </w:numPr>
      </w:pPr>
      <w:r w:rsidRPr="00E744B7">
        <w:t xml:space="preserve">Technical documentation in accordance with the </w:t>
      </w:r>
      <w:r w:rsidR="003E5799">
        <w:t>regulation</w:t>
      </w:r>
      <w:r w:rsidR="003E5799" w:rsidRPr="00E744B7">
        <w:t xml:space="preserve"> </w:t>
      </w:r>
      <w:r w:rsidRPr="00E744B7">
        <w:t>has to be provided to the Commission on request.</w:t>
      </w:r>
    </w:p>
    <w:p w:rsidR="00FA4D22" w:rsidRPr="00E744B7" w:rsidRDefault="00FA4D22" w:rsidP="00687707">
      <w:pPr>
        <w:numPr>
          <w:ilvl w:val="0"/>
          <w:numId w:val="19"/>
        </w:numPr>
      </w:pPr>
      <w:r w:rsidRPr="00E744B7">
        <w:t xml:space="preserve">Product </w:t>
      </w:r>
      <w:r w:rsidR="005D2179">
        <w:t>a</w:t>
      </w:r>
      <w:r w:rsidRPr="00E744B7">
        <w:t>dvertisements are required to reference the seasonal space heating energy efficiency class.</w:t>
      </w:r>
    </w:p>
    <w:p w:rsidR="00FA4D22" w:rsidRPr="00E744B7" w:rsidRDefault="00FA4D22" w:rsidP="00687707">
      <w:pPr>
        <w:numPr>
          <w:ilvl w:val="0"/>
          <w:numId w:val="19"/>
        </w:numPr>
      </w:pPr>
      <w:r w:rsidRPr="00E744B7">
        <w:t>Technical promotional material is also required to reference the seasonal heating energy efficiency class. Technical promotion material does not include price lists, when they o</w:t>
      </w:r>
      <w:r w:rsidR="0012106F">
        <w:t>nly contain price information.</w:t>
      </w:r>
    </w:p>
    <w:p w:rsidR="00FA4D22" w:rsidRPr="0015605F" w:rsidRDefault="00FA4D22" w:rsidP="00FA4D22">
      <w:r w:rsidRPr="0015605F">
        <w:t xml:space="preserve">The </w:t>
      </w:r>
      <w:r w:rsidR="00E744B7">
        <w:t>o</w:t>
      </w:r>
      <w:r>
        <w:t xml:space="preserve">bligations </w:t>
      </w:r>
      <w:r w:rsidR="00E744B7">
        <w:t xml:space="preserve">for retailers </w:t>
      </w:r>
      <w:r w:rsidRPr="0015605F">
        <w:t>are:</w:t>
      </w:r>
    </w:p>
    <w:p w:rsidR="00FA4D22" w:rsidRPr="00E744B7" w:rsidRDefault="00FA4D22" w:rsidP="00687707">
      <w:pPr>
        <w:numPr>
          <w:ilvl w:val="0"/>
          <w:numId w:val="19"/>
        </w:numPr>
      </w:pPr>
      <w:r w:rsidRPr="00E744B7">
        <w:t xml:space="preserve">At the </w:t>
      </w:r>
      <w:r w:rsidR="0012106F">
        <w:t>p</w:t>
      </w:r>
      <w:r w:rsidRPr="00E744B7">
        <w:t>oint of sale, each space heater on display shall be equipped with the respective printed energy label</w:t>
      </w:r>
      <w:r w:rsidR="00E744B7">
        <w:t>.</w:t>
      </w:r>
    </w:p>
    <w:p w:rsidR="00FA4D22" w:rsidRPr="00E744B7" w:rsidRDefault="00FA4D22" w:rsidP="00687707">
      <w:pPr>
        <w:numPr>
          <w:ilvl w:val="0"/>
          <w:numId w:val="19"/>
        </w:numPr>
      </w:pPr>
      <w:r w:rsidRPr="00E744B7">
        <w:t>Products marketed without the end user being able to see the label shall be accompanied with the relevant information laid down in the product fiche</w:t>
      </w:r>
      <w:r w:rsidR="00E744B7">
        <w:t xml:space="preserve"> provided by the manufacturer.</w:t>
      </w:r>
    </w:p>
    <w:p w:rsidR="00FA4D22" w:rsidRPr="00E744B7" w:rsidRDefault="00FA4D22" w:rsidP="00687707">
      <w:pPr>
        <w:numPr>
          <w:ilvl w:val="0"/>
          <w:numId w:val="19"/>
        </w:numPr>
      </w:pPr>
      <w:r w:rsidRPr="00E744B7">
        <w:t>Advertisements are required to reference the seasonal space heating energy efficiency class</w:t>
      </w:r>
      <w:r w:rsidR="00E744B7">
        <w:t>.</w:t>
      </w:r>
    </w:p>
    <w:p w:rsidR="00FA4D22" w:rsidRPr="00E744B7" w:rsidRDefault="00FA4D22" w:rsidP="00687707">
      <w:pPr>
        <w:numPr>
          <w:ilvl w:val="0"/>
          <w:numId w:val="19"/>
        </w:numPr>
      </w:pPr>
      <w:r w:rsidRPr="00E744B7">
        <w:t>Technical promotional material is also required to reference the seasonal heating energy efficiency class</w:t>
      </w:r>
      <w:r w:rsidR="00E744B7">
        <w:t>.</w:t>
      </w:r>
    </w:p>
    <w:p w:rsidR="00FA4D22" w:rsidRPr="0015605F" w:rsidRDefault="00FA4D22" w:rsidP="00FA4D22">
      <w:r w:rsidRPr="0015605F">
        <w:lastRenderedPageBreak/>
        <w:t>The retailer must be provided with the label and the additional information</w:t>
      </w:r>
      <w:r>
        <w:t xml:space="preserve"> by the distributor / manufacturer</w:t>
      </w:r>
      <w:r w:rsidRPr="0015605F">
        <w:t xml:space="preserve"> in such a way, that </w:t>
      </w:r>
      <w:r>
        <w:t xml:space="preserve">they are able </w:t>
      </w:r>
      <w:r w:rsidRPr="0015605F">
        <w:t>to provide the necessary information to the customers. The technical parameters to be communicated are defined in Annex VII, paragraph 7 of the respective regulations.</w:t>
      </w:r>
    </w:p>
    <w:p w:rsidR="00FA4D22" w:rsidRDefault="00FA4D22" w:rsidP="00017752">
      <w:pPr>
        <w:pStyle w:val="Heading2"/>
      </w:pPr>
      <w:bookmarkStart w:id="34" w:name="_Toc385484875"/>
      <w:bookmarkStart w:id="35" w:name="_Toc402443619"/>
      <w:r w:rsidRPr="0015605F">
        <w:t>Labelling requirements</w:t>
      </w:r>
      <w:r>
        <w:t xml:space="preserve"> for packages</w:t>
      </w:r>
      <w:bookmarkEnd w:id="34"/>
      <w:bookmarkEnd w:id="35"/>
    </w:p>
    <w:p w:rsidR="00FA4D22" w:rsidRDefault="00FA4D22" w:rsidP="003F0BA2">
      <w:r>
        <w:t>For packages of space or combination heaters with temperature control and</w:t>
      </w:r>
      <w:r w:rsidR="00214E26">
        <w:t>/or</w:t>
      </w:r>
      <w:r>
        <w:t xml:space="preserve"> solar devices as well as for packages for water heaters and solar devices the </w:t>
      </w:r>
      <w:r w:rsidRPr="0012106F">
        <w:t>dealer</w:t>
      </w:r>
      <w:r>
        <w:t xml:space="preserve"> has to provide a customized label to ensure sufficient information for the </w:t>
      </w:r>
      <w:r w:rsidR="005D2179">
        <w:t>end user</w:t>
      </w:r>
      <w:r>
        <w:t>.</w:t>
      </w:r>
    </w:p>
    <w:p w:rsidR="003F0BA2" w:rsidRDefault="00F56F35" w:rsidP="003F0BA2">
      <w:r>
        <w:t>The packages are defined in the Energy Labelling Regulations</w:t>
      </w:r>
      <w:r w:rsidR="003F0BA2">
        <w:t>:</w:t>
      </w:r>
    </w:p>
    <w:p w:rsidR="00F56F35" w:rsidRPr="003F0BA2" w:rsidRDefault="003F0BA2" w:rsidP="003F0BA2">
      <w:pPr>
        <w:pStyle w:val="ListParagraph"/>
        <w:numPr>
          <w:ilvl w:val="0"/>
          <w:numId w:val="24"/>
        </w:numPr>
        <w:jc w:val="both"/>
        <w:rPr>
          <w:rFonts w:ascii="Times New Roman" w:hAnsi="Times New Roman"/>
          <w:sz w:val="24"/>
          <w:szCs w:val="24"/>
        </w:rPr>
      </w:pPr>
      <w:r>
        <w:rPr>
          <w:rFonts w:ascii="Times New Roman" w:hAnsi="Times New Roman"/>
          <w:sz w:val="24"/>
          <w:szCs w:val="24"/>
        </w:rPr>
        <w:t>I</w:t>
      </w:r>
      <w:r w:rsidR="00F56F35" w:rsidRPr="003F0BA2">
        <w:rPr>
          <w:rFonts w:ascii="Times New Roman" w:hAnsi="Times New Roman"/>
          <w:sz w:val="24"/>
          <w:szCs w:val="24"/>
        </w:rPr>
        <w:t>n the case of Regulation 811/2013 they always contain a space heater or a combination heater,</w:t>
      </w:r>
      <w:r>
        <w:rPr>
          <w:rFonts w:ascii="Times New Roman" w:hAnsi="Times New Roman"/>
          <w:sz w:val="24"/>
          <w:szCs w:val="24"/>
        </w:rPr>
        <w:t xml:space="preserve"> in addition to a temperature control and optionally a solar device.</w:t>
      </w:r>
    </w:p>
    <w:p w:rsidR="003F0BA2" w:rsidRDefault="00F56F35" w:rsidP="003F0BA2">
      <w:pPr>
        <w:pStyle w:val="ListParagraph"/>
        <w:numPr>
          <w:ilvl w:val="0"/>
          <w:numId w:val="24"/>
        </w:numPr>
        <w:jc w:val="both"/>
        <w:rPr>
          <w:rFonts w:ascii="Times New Roman" w:hAnsi="Times New Roman"/>
          <w:sz w:val="24"/>
          <w:szCs w:val="24"/>
        </w:rPr>
      </w:pPr>
      <w:r w:rsidRPr="003F0BA2">
        <w:rPr>
          <w:rFonts w:ascii="Times New Roman" w:hAnsi="Times New Roman"/>
          <w:sz w:val="24"/>
          <w:szCs w:val="24"/>
        </w:rPr>
        <w:t>In the case of Regulation 812/2013 they always contain at least a water heater and a solar device.</w:t>
      </w:r>
    </w:p>
    <w:p w:rsidR="00F56F35" w:rsidRPr="003F0BA2" w:rsidRDefault="00F56F35" w:rsidP="003F0BA2">
      <w:pPr>
        <w:pStyle w:val="ListParagraph"/>
        <w:numPr>
          <w:ilvl w:val="0"/>
          <w:numId w:val="24"/>
        </w:numPr>
        <w:jc w:val="both"/>
        <w:rPr>
          <w:rFonts w:ascii="Times New Roman" w:hAnsi="Times New Roman"/>
          <w:sz w:val="24"/>
          <w:szCs w:val="24"/>
        </w:rPr>
      </w:pPr>
      <w:r w:rsidRPr="003F0BA2">
        <w:rPr>
          <w:rFonts w:ascii="Times New Roman" w:hAnsi="Times New Roman"/>
          <w:sz w:val="24"/>
          <w:szCs w:val="24"/>
        </w:rPr>
        <w:t>According to the relevant definitions in the Regulation</w:t>
      </w:r>
      <w:r w:rsidR="003F0BA2">
        <w:rPr>
          <w:rFonts w:ascii="Times New Roman" w:hAnsi="Times New Roman"/>
          <w:sz w:val="24"/>
          <w:szCs w:val="24"/>
        </w:rPr>
        <w:t>s</w:t>
      </w:r>
      <w:r w:rsidRPr="003F0BA2">
        <w:rPr>
          <w:rFonts w:ascii="Times New Roman" w:hAnsi="Times New Roman"/>
          <w:sz w:val="24"/>
          <w:szCs w:val="24"/>
        </w:rPr>
        <w:t xml:space="preserve">, a solar device </w:t>
      </w:r>
      <w:r w:rsidR="003F0BA2">
        <w:rPr>
          <w:rFonts w:ascii="Times New Roman" w:hAnsi="Times New Roman"/>
          <w:sz w:val="24"/>
          <w:szCs w:val="24"/>
        </w:rPr>
        <w:t xml:space="preserve">is </w:t>
      </w:r>
      <w:r w:rsidR="00231974">
        <w:rPr>
          <w:rFonts w:ascii="Times New Roman" w:hAnsi="Times New Roman"/>
          <w:sz w:val="24"/>
          <w:szCs w:val="24"/>
        </w:rPr>
        <w:t>made up of</w:t>
      </w:r>
      <w:r w:rsidR="003F0BA2">
        <w:rPr>
          <w:rFonts w:ascii="Times New Roman" w:hAnsi="Times New Roman"/>
          <w:sz w:val="24"/>
          <w:szCs w:val="24"/>
        </w:rPr>
        <w:t xml:space="preserve"> a solar collector, a solar hot water storage tank or a pump in the collector loop. A solar hot water storage tank is defined as a hot water storage tank storing heat energy produced by one or more solar collectors. This means that a solar device always contains a solar collector </w:t>
      </w:r>
      <w:r w:rsidRPr="003F0BA2">
        <w:rPr>
          <w:rFonts w:ascii="Times New Roman" w:hAnsi="Times New Roman"/>
          <w:sz w:val="24"/>
          <w:szCs w:val="24"/>
        </w:rPr>
        <w:t>as a solar hot water storage tank is necessarily storing water coming from a collector and there cannot be a pump in the collector loop without a collector.</w:t>
      </w:r>
    </w:p>
    <w:p w:rsidR="00FA4D22" w:rsidRDefault="00FA4D22" w:rsidP="003F0BA2">
      <w:r>
        <w:t>The dealer is defined in the Energy Labelling Directive as a retailer or other person who sells, hires, offers for hire-purchase or displays products to end users.</w:t>
      </w:r>
    </w:p>
    <w:p w:rsidR="00FA4D22" w:rsidRDefault="00FA4D22" w:rsidP="003F0BA2">
      <w:r>
        <w:t xml:space="preserve">In the heating sector, the dealer is usually the person that is in the best position to </w:t>
      </w:r>
      <w:r w:rsidR="005D2179">
        <w:t>advice</w:t>
      </w:r>
      <w:r w:rsidR="00231974">
        <w:t xml:space="preserve"> </w:t>
      </w:r>
      <w:r w:rsidR="005D2179">
        <w:t>end users</w:t>
      </w:r>
      <w:r>
        <w:t xml:space="preserve"> on the different existing solutions for fulfilling their heating needs and their relative efficiency. In order to provide better information to consumers and recognising that not only the individual components of an installation are important but that the combination of them with </w:t>
      </w:r>
      <w:r w:rsidR="005C7BD4">
        <w:t xml:space="preserve">temperature controls and/or </w:t>
      </w:r>
      <w:r>
        <w:t>solar devices can greatly increase their efficiency a “dealer” label has been introduced for space and water heaters.</w:t>
      </w:r>
    </w:p>
    <w:p w:rsidR="00FA4D22" w:rsidRDefault="00FA4D22" w:rsidP="00FA4D22">
      <w:r>
        <w:t>The information provided by this “dealer label” is based on the information provided by the manufacturers for the individual components of the package which needs to be readily available for dealers in the technical documentation of the products.</w:t>
      </w:r>
    </w:p>
    <w:p w:rsidR="00FA4D22" w:rsidRDefault="00FA4D22" w:rsidP="00FA4D22">
      <w:r>
        <w:t xml:space="preserve">The overall efficiency of the package has to be calculated in accordance </w:t>
      </w:r>
      <w:r w:rsidR="005D2179">
        <w:t xml:space="preserve">with </w:t>
      </w:r>
      <w:r>
        <w:t xml:space="preserve">the Regulations. For the different combinations the </w:t>
      </w:r>
      <w:r w:rsidR="003E5799">
        <w:t xml:space="preserve">regulation </w:t>
      </w:r>
      <w:r>
        <w:t xml:space="preserve">provides a calculation for the dealers to determine the efficiency class of the package. The following table gives an overview of the calculation </w:t>
      </w:r>
      <w:r w:rsidR="005D2179">
        <w:t xml:space="preserve">methods </w:t>
      </w:r>
      <w:r>
        <w:t xml:space="preserve">depending on the preferential heater. The appropriate calculation </w:t>
      </w:r>
      <w:r w:rsidR="005D2179">
        <w:t xml:space="preserve">method </w:t>
      </w:r>
      <w:r>
        <w:t>has to be chosen according to the type of package.</w:t>
      </w:r>
    </w:p>
    <w:tbl>
      <w:tblPr>
        <w:tblW w:w="5000" w:type="pct"/>
        <w:tblBorders>
          <w:insideH w:val="single" w:sz="4" w:space="0" w:color="auto"/>
        </w:tblBorders>
        <w:tblLook w:val="04A0" w:firstRow="1" w:lastRow="0" w:firstColumn="1" w:lastColumn="0" w:noHBand="0" w:noVBand="1"/>
      </w:tblPr>
      <w:tblGrid>
        <w:gridCol w:w="3066"/>
        <w:gridCol w:w="2814"/>
        <w:gridCol w:w="2642"/>
      </w:tblGrid>
      <w:tr w:rsidR="00FA4D22" w:rsidTr="00687707">
        <w:tc>
          <w:tcPr>
            <w:tcW w:w="1799" w:type="pct"/>
            <w:shd w:val="clear" w:color="auto" w:fill="auto"/>
            <w:vAlign w:val="center"/>
          </w:tcPr>
          <w:p w:rsidR="00FA4D22" w:rsidRPr="00687707" w:rsidRDefault="00FA4D22" w:rsidP="00687707">
            <w:pPr>
              <w:spacing w:before="0" w:after="0"/>
              <w:jc w:val="center"/>
              <w:rPr>
                <w:rFonts w:eastAsia="Calibri"/>
                <w:b/>
                <w:sz w:val="20"/>
                <w:szCs w:val="20"/>
              </w:rPr>
            </w:pPr>
            <w:r w:rsidRPr="00687707">
              <w:rPr>
                <w:rFonts w:eastAsia="Calibri"/>
                <w:b/>
                <w:sz w:val="20"/>
                <w:szCs w:val="20"/>
              </w:rPr>
              <w:t>Type of preferential heater</w:t>
            </w:r>
          </w:p>
        </w:tc>
        <w:tc>
          <w:tcPr>
            <w:tcW w:w="1651" w:type="pct"/>
            <w:shd w:val="clear" w:color="auto" w:fill="auto"/>
            <w:vAlign w:val="center"/>
          </w:tcPr>
          <w:p w:rsidR="00FA4D22" w:rsidRPr="00687707" w:rsidRDefault="00FA4D22" w:rsidP="00687707">
            <w:pPr>
              <w:spacing w:before="0" w:after="0"/>
              <w:jc w:val="center"/>
              <w:rPr>
                <w:rFonts w:eastAsia="Calibri"/>
                <w:b/>
                <w:sz w:val="20"/>
                <w:szCs w:val="20"/>
              </w:rPr>
            </w:pPr>
            <w:r w:rsidRPr="00687707">
              <w:rPr>
                <w:rFonts w:eastAsia="Calibri"/>
                <w:b/>
                <w:sz w:val="20"/>
                <w:szCs w:val="20"/>
              </w:rPr>
              <w:t>Space heating efficiency class calculation scheme</w:t>
            </w:r>
          </w:p>
        </w:tc>
        <w:tc>
          <w:tcPr>
            <w:tcW w:w="1550" w:type="pct"/>
            <w:shd w:val="clear" w:color="auto" w:fill="auto"/>
            <w:vAlign w:val="center"/>
          </w:tcPr>
          <w:p w:rsidR="00FA4D22" w:rsidRPr="00687707" w:rsidRDefault="00FA4D22" w:rsidP="00687707">
            <w:pPr>
              <w:spacing w:before="0" w:after="0"/>
              <w:jc w:val="center"/>
              <w:rPr>
                <w:rFonts w:eastAsia="Calibri"/>
                <w:b/>
                <w:sz w:val="20"/>
                <w:szCs w:val="20"/>
              </w:rPr>
            </w:pPr>
            <w:r w:rsidRPr="00687707">
              <w:rPr>
                <w:rFonts w:eastAsia="Calibri"/>
                <w:b/>
                <w:sz w:val="20"/>
                <w:szCs w:val="20"/>
              </w:rPr>
              <w:t>Water heating efficiency class calculation scheme</w:t>
            </w:r>
          </w:p>
        </w:tc>
      </w:tr>
      <w:tr w:rsidR="00FA4D22" w:rsidTr="00687707">
        <w:tc>
          <w:tcPr>
            <w:tcW w:w="1799" w:type="pct"/>
            <w:shd w:val="clear" w:color="auto" w:fill="auto"/>
            <w:vAlign w:val="center"/>
          </w:tcPr>
          <w:p w:rsidR="00FA4D22" w:rsidRPr="00687707" w:rsidRDefault="00FA4D22" w:rsidP="00687707">
            <w:pPr>
              <w:spacing w:before="0" w:after="0"/>
              <w:jc w:val="center"/>
              <w:rPr>
                <w:rFonts w:eastAsia="Calibri"/>
                <w:sz w:val="20"/>
                <w:szCs w:val="20"/>
              </w:rPr>
            </w:pPr>
            <w:r w:rsidRPr="00687707">
              <w:rPr>
                <w:rFonts w:eastAsia="Calibri"/>
                <w:sz w:val="20"/>
                <w:szCs w:val="20"/>
              </w:rPr>
              <w:t>Space heater or combination heater</w:t>
            </w:r>
          </w:p>
        </w:tc>
        <w:tc>
          <w:tcPr>
            <w:tcW w:w="1651" w:type="pct"/>
            <w:shd w:val="clear" w:color="auto" w:fill="auto"/>
            <w:vAlign w:val="center"/>
          </w:tcPr>
          <w:p w:rsidR="00FA4D22" w:rsidRPr="00687707" w:rsidRDefault="00FA4D22" w:rsidP="00687707">
            <w:pPr>
              <w:spacing w:before="0" w:after="0"/>
              <w:jc w:val="center"/>
              <w:rPr>
                <w:rFonts w:eastAsia="Calibri"/>
                <w:sz w:val="20"/>
                <w:szCs w:val="20"/>
              </w:rPr>
            </w:pPr>
            <w:r w:rsidRPr="00687707">
              <w:rPr>
                <w:rFonts w:eastAsia="Calibri"/>
                <w:sz w:val="20"/>
                <w:szCs w:val="20"/>
              </w:rPr>
              <w:t>Figure 1 (811/2013)</w:t>
            </w:r>
          </w:p>
        </w:tc>
        <w:tc>
          <w:tcPr>
            <w:tcW w:w="1550" w:type="pct"/>
            <w:vMerge w:val="restart"/>
            <w:shd w:val="clear" w:color="auto" w:fill="auto"/>
            <w:vAlign w:val="center"/>
          </w:tcPr>
          <w:p w:rsidR="00FA4D22" w:rsidRPr="00687707" w:rsidRDefault="00FA4D22" w:rsidP="00687707">
            <w:pPr>
              <w:spacing w:before="0" w:after="0"/>
              <w:jc w:val="center"/>
              <w:rPr>
                <w:rFonts w:eastAsia="Calibri"/>
                <w:sz w:val="20"/>
                <w:szCs w:val="20"/>
                <w:lang w:val="de-DE"/>
              </w:rPr>
            </w:pPr>
            <w:r w:rsidRPr="00687707">
              <w:rPr>
                <w:rFonts w:eastAsia="Calibri"/>
                <w:sz w:val="20"/>
                <w:szCs w:val="20"/>
              </w:rPr>
              <w:t>Figure 5 (811/2013)</w:t>
            </w:r>
            <w:r w:rsidRPr="00687707">
              <w:rPr>
                <w:rFonts w:eastAsia="Calibri"/>
                <w:sz w:val="20"/>
                <w:szCs w:val="20"/>
              </w:rPr>
              <w:br/>
              <w:t>(for combination heaters)</w:t>
            </w:r>
          </w:p>
        </w:tc>
      </w:tr>
      <w:tr w:rsidR="00FA4D22" w:rsidTr="00687707">
        <w:tc>
          <w:tcPr>
            <w:tcW w:w="1799" w:type="pct"/>
            <w:shd w:val="clear" w:color="auto" w:fill="auto"/>
            <w:vAlign w:val="center"/>
          </w:tcPr>
          <w:p w:rsidR="00FA4D22" w:rsidRPr="00687707" w:rsidRDefault="00FA4D22" w:rsidP="00687707">
            <w:pPr>
              <w:spacing w:before="0" w:after="0"/>
              <w:jc w:val="center"/>
              <w:rPr>
                <w:rFonts w:eastAsia="Calibri"/>
                <w:sz w:val="20"/>
                <w:szCs w:val="20"/>
              </w:rPr>
            </w:pPr>
            <w:r w:rsidRPr="00687707">
              <w:rPr>
                <w:rFonts w:eastAsia="Calibri"/>
                <w:sz w:val="20"/>
                <w:szCs w:val="20"/>
              </w:rPr>
              <w:t>Cogeneration space heater</w:t>
            </w:r>
          </w:p>
        </w:tc>
        <w:tc>
          <w:tcPr>
            <w:tcW w:w="1651" w:type="pct"/>
            <w:shd w:val="clear" w:color="auto" w:fill="auto"/>
            <w:vAlign w:val="center"/>
          </w:tcPr>
          <w:p w:rsidR="00FA4D22" w:rsidRPr="00687707" w:rsidRDefault="00FA4D22" w:rsidP="00687707">
            <w:pPr>
              <w:spacing w:before="0" w:after="0"/>
              <w:jc w:val="center"/>
              <w:rPr>
                <w:rFonts w:eastAsia="Calibri"/>
                <w:sz w:val="20"/>
                <w:szCs w:val="20"/>
              </w:rPr>
            </w:pPr>
            <w:r w:rsidRPr="00687707">
              <w:rPr>
                <w:rFonts w:eastAsia="Calibri"/>
                <w:sz w:val="20"/>
                <w:szCs w:val="20"/>
              </w:rPr>
              <w:t>Figure 2 (811/2013)</w:t>
            </w:r>
          </w:p>
        </w:tc>
        <w:tc>
          <w:tcPr>
            <w:tcW w:w="1550" w:type="pct"/>
            <w:vMerge/>
            <w:shd w:val="clear" w:color="auto" w:fill="auto"/>
            <w:vAlign w:val="center"/>
          </w:tcPr>
          <w:p w:rsidR="00FA4D22" w:rsidRPr="00687707" w:rsidRDefault="00FA4D22" w:rsidP="00687707">
            <w:pPr>
              <w:spacing w:before="0" w:after="0"/>
              <w:jc w:val="center"/>
              <w:rPr>
                <w:rFonts w:eastAsia="Calibri"/>
                <w:sz w:val="20"/>
                <w:szCs w:val="20"/>
              </w:rPr>
            </w:pPr>
          </w:p>
        </w:tc>
      </w:tr>
      <w:tr w:rsidR="00FA4D22" w:rsidTr="00687707">
        <w:tc>
          <w:tcPr>
            <w:tcW w:w="1799" w:type="pct"/>
            <w:shd w:val="clear" w:color="auto" w:fill="auto"/>
            <w:vAlign w:val="center"/>
          </w:tcPr>
          <w:p w:rsidR="00FA4D22" w:rsidRPr="00687707" w:rsidRDefault="00FA4D22" w:rsidP="00687707">
            <w:pPr>
              <w:spacing w:before="0" w:after="0"/>
              <w:jc w:val="center"/>
              <w:rPr>
                <w:rFonts w:eastAsia="Calibri"/>
                <w:sz w:val="20"/>
                <w:szCs w:val="20"/>
              </w:rPr>
            </w:pPr>
            <w:r w:rsidRPr="00687707">
              <w:rPr>
                <w:rFonts w:eastAsia="Calibri"/>
                <w:sz w:val="20"/>
                <w:szCs w:val="20"/>
              </w:rPr>
              <w:t>Heat Pump space heater</w:t>
            </w:r>
          </w:p>
        </w:tc>
        <w:tc>
          <w:tcPr>
            <w:tcW w:w="1651" w:type="pct"/>
            <w:shd w:val="clear" w:color="auto" w:fill="auto"/>
            <w:vAlign w:val="center"/>
          </w:tcPr>
          <w:p w:rsidR="00FA4D22" w:rsidRPr="00687707" w:rsidRDefault="00FA4D22" w:rsidP="00687707">
            <w:pPr>
              <w:spacing w:before="0" w:after="0"/>
              <w:jc w:val="center"/>
              <w:rPr>
                <w:rFonts w:eastAsia="Calibri"/>
                <w:sz w:val="20"/>
                <w:szCs w:val="20"/>
              </w:rPr>
            </w:pPr>
            <w:r w:rsidRPr="00687707">
              <w:rPr>
                <w:rFonts w:eastAsia="Calibri"/>
                <w:sz w:val="20"/>
                <w:szCs w:val="20"/>
              </w:rPr>
              <w:t>Figure 3 (811/2013)</w:t>
            </w:r>
          </w:p>
        </w:tc>
        <w:tc>
          <w:tcPr>
            <w:tcW w:w="1550" w:type="pct"/>
            <w:vMerge/>
            <w:shd w:val="clear" w:color="auto" w:fill="auto"/>
            <w:vAlign w:val="center"/>
          </w:tcPr>
          <w:p w:rsidR="00FA4D22" w:rsidRPr="00687707" w:rsidRDefault="00FA4D22" w:rsidP="00687707">
            <w:pPr>
              <w:spacing w:before="0" w:after="0"/>
              <w:jc w:val="center"/>
              <w:rPr>
                <w:rFonts w:eastAsia="Calibri"/>
                <w:sz w:val="20"/>
                <w:szCs w:val="20"/>
              </w:rPr>
            </w:pPr>
          </w:p>
        </w:tc>
      </w:tr>
      <w:tr w:rsidR="00FA4D22" w:rsidTr="00687707">
        <w:tc>
          <w:tcPr>
            <w:tcW w:w="1799" w:type="pct"/>
            <w:shd w:val="clear" w:color="auto" w:fill="auto"/>
            <w:vAlign w:val="center"/>
          </w:tcPr>
          <w:p w:rsidR="00FA4D22" w:rsidRPr="00687707" w:rsidRDefault="00FA4D22" w:rsidP="00687707">
            <w:pPr>
              <w:spacing w:before="0" w:after="0"/>
              <w:jc w:val="center"/>
              <w:rPr>
                <w:rFonts w:eastAsia="Calibri"/>
                <w:sz w:val="20"/>
                <w:szCs w:val="20"/>
              </w:rPr>
            </w:pPr>
            <w:r w:rsidRPr="00687707">
              <w:rPr>
                <w:rFonts w:eastAsia="Calibri"/>
                <w:sz w:val="20"/>
                <w:szCs w:val="20"/>
              </w:rPr>
              <w:t>Low-Temperature Heat Pump space heater</w:t>
            </w:r>
          </w:p>
        </w:tc>
        <w:tc>
          <w:tcPr>
            <w:tcW w:w="1651" w:type="pct"/>
            <w:shd w:val="clear" w:color="auto" w:fill="auto"/>
            <w:vAlign w:val="center"/>
          </w:tcPr>
          <w:p w:rsidR="00FA4D22" w:rsidRPr="00687707" w:rsidRDefault="00FA4D22" w:rsidP="00687707">
            <w:pPr>
              <w:spacing w:before="0" w:after="0"/>
              <w:jc w:val="center"/>
              <w:rPr>
                <w:rFonts w:eastAsia="Calibri"/>
                <w:sz w:val="20"/>
                <w:szCs w:val="20"/>
              </w:rPr>
            </w:pPr>
            <w:r w:rsidRPr="00687707">
              <w:rPr>
                <w:rFonts w:eastAsia="Calibri"/>
                <w:sz w:val="20"/>
                <w:szCs w:val="20"/>
              </w:rPr>
              <w:t>Figure 4 (811/2013)</w:t>
            </w:r>
          </w:p>
        </w:tc>
        <w:tc>
          <w:tcPr>
            <w:tcW w:w="1550" w:type="pct"/>
            <w:vMerge/>
            <w:shd w:val="clear" w:color="auto" w:fill="auto"/>
            <w:vAlign w:val="center"/>
          </w:tcPr>
          <w:p w:rsidR="00FA4D22" w:rsidRPr="00687707" w:rsidRDefault="00FA4D22" w:rsidP="00687707">
            <w:pPr>
              <w:spacing w:before="0" w:after="0"/>
              <w:jc w:val="center"/>
              <w:rPr>
                <w:rFonts w:eastAsia="Calibri"/>
                <w:sz w:val="20"/>
                <w:szCs w:val="20"/>
              </w:rPr>
            </w:pPr>
          </w:p>
        </w:tc>
      </w:tr>
      <w:tr w:rsidR="00FA4D22" w:rsidTr="00687707">
        <w:tc>
          <w:tcPr>
            <w:tcW w:w="1799" w:type="pct"/>
            <w:shd w:val="clear" w:color="auto" w:fill="auto"/>
            <w:vAlign w:val="center"/>
          </w:tcPr>
          <w:p w:rsidR="00FA4D22" w:rsidRPr="00687707" w:rsidRDefault="00FA4D22" w:rsidP="00687707">
            <w:pPr>
              <w:spacing w:before="0" w:after="0"/>
              <w:jc w:val="center"/>
              <w:rPr>
                <w:rFonts w:eastAsia="Calibri"/>
                <w:sz w:val="20"/>
                <w:szCs w:val="20"/>
              </w:rPr>
            </w:pPr>
            <w:r w:rsidRPr="00687707">
              <w:rPr>
                <w:rFonts w:eastAsia="Calibri"/>
                <w:sz w:val="20"/>
                <w:szCs w:val="20"/>
              </w:rPr>
              <w:t>Water heater</w:t>
            </w:r>
          </w:p>
        </w:tc>
        <w:tc>
          <w:tcPr>
            <w:tcW w:w="1651" w:type="pct"/>
            <w:shd w:val="clear" w:color="auto" w:fill="auto"/>
            <w:vAlign w:val="center"/>
          </w:tcPr>
          <w:p w:rsidR="00FA4D22" w:rsidRPr="00687707" w:rsidRDefault="00FA4D22" w:rsidP="00687707">
            <w:pPr>
              <w:spacing w:before="0" w:after="0"/>
              <w:jc w:val="center"/>
              <w:rPr>
                <w:rFonts w:eastAsia="Calibri"/>
                <w:sz w:val="20"/>
                <w:szCs w:val="20"/>
              </w:rPr>
            </w:pPr>
            <w:r w:rsidRPr="00687707">
              <w:rPr>
                <w:rFonts w:eastAsia="Calibri"/>
                <w:sz w:val="20"/>
                <w:szCs w:val="20"/>
              </w:rPr>
              <w:t>Not applicable</w:t>
            </w:r>
          </w:p>
        </w:tc>
        <w:tc>
          <w:tcPr>
            <w:tcW w:w="1550" w:type="pct"/>
            <w:shd w:val="clear" w:color="auto" w:fill="auto"/>
            <w:vAlign w:val="center"/>
          </w:tcPr>
          <w:p w:rsidR="00FA4D22" w:rsidRPr="00687707" w:rsidRDefault="00FA4D22" w:rsidP="00687707">
            <w:pPr>
              <w:spacing w:before="0" w:after="0"/>
              <w:jc w:val="center"/>
              <w:rPr>
                <w:rFonts w:eastAsia="Calibri"/>
                <w:sz w:val="20"/>
                <w:szCs w:val="20"/>
              </w:rPr>
            </w:pPr>
            <w:r w:rsidRPr="00687707">
              <w:rPr>
                <w:rFonts w:eastAsia="Calibri"/>
                <w:sz w:val="20"/>
                <w:szCs w:val="20"/>
              </w:rPr>
              <w:t>Figure 1 (812/2013)</w:t>
            </w:r>
          </w:p>
        </w:tc>
      </w:tr>
    </w:tbl>
    <w:p w:rsidR="007319ED" w:rsidRDefault="007319ED" w:rsidP="00FA4D22"/>
    <w:p w:rsidR="00FA4D22" w:rsidRDefault="00FA4D22" w:rsidP="00FA4D22">
      <w:r>
        <w:t>With the energy efficiency class resulting from the calculation</w:t>
      </w:r>
      <w:r w:rsidR="005D2179">
        <w:t>s</w:t>
      </w:r>
      <w:r>
        <w:t>, the package label</w:t>
      </w:r>
      <w:r w:rsidR="007319ED">
        <w:t xml:space="preserve"> can be designed appropriately.</w:t>
      </w:r>
    </w:p>
    <w:p w:rsidR="00FA4D22" w:rsidRDefault="00FA4D22" w:rsidP="00017752">
      <w:pPr>
        <w:pStyle w:val="Heading3"/>
      </w:pPr>
      <w:r>
        <w:t>Calculation of space heating energy efficiency</w:t>
      </w:r>
    </w:p>
    <w:p w:rsidR="00FA4D22" w:rsidRDefault="00FA4D22" w:rsidP="00FA4D22">
      <w:pPr>
        <w:pStyle w:val="Heading4"/>
      </w:pPr>
      <w:r>
        <w:t xml:space="preserve">Seasonal space heating energy efficiency </w:t>
      </w:r>
    </w:p>
    <w:p w:rsidR="00FA4D22" w:rsidRDefault="00FA4D22" w:rsidP="00FA4D22">
      <w:r>
        <w:t>The value to be introduced is the seasonal space heating energy efficiency of the preferential heater, which can be a space heater, a combination heater, a cogeneration space heater, a heat pump space heater or a low-temperature heat pump space heater.</w:t>
      </w:r>
    </w:p>
    <w:p w:rsidR="00FA4D22" w:rsidRDefault="00FA4D22" w:rsidP="00FA4D22">
      <w:r>
        <w:t xml:space="preserve">This information can be found on the product fiche that needs to </w:t>
      </w:r>
      <w:proofErr w:type="spellStart"/>
      <w:proofErr w:type="gramStart"/>
      <w:r>
        <w:t>provide</w:t>
      </w:r>
      <w:r w:rsidR="00231974">
        <w:t>d</w:t>
      </w:r>
      <w:proofErr w:type="spellEnd"/>
      <w:proofErr w:type="gramEnd"/>
      <w:r>
        <w:t xml:space="preserve"> by the supplier </w:t>
      </w:r>
      <w:r w:rsidR="005D2179">
        <w:t>with t</w:t>
      </w:r>
      <w:r>
        <w:t>he product.</w:t>
      </w:r>
    </w:p>
    <w:p w:rsidR="00FA4D22" w:rsidRDefault="00FA4D22" w:rsidP="00FA4D22">
      <w:r>
        <w:t xml:space="preserve">Packages can also include a supplementary </w:t>
      </w:r>
      <w:r w:rsidR="007319ED">
        <w:t>heater;</w:t>
      </w:r>
      <w:r>
        <w:t xml:space="preserve"> in </w:t>
      </w:r>
      <w:r w:rsidR="00282E94">
        <w:t>which</w:t>
      </w:r>
      <w:r>
        <w:t xml:space="preserve"> case, the seasonal space heating energy efficiency of the supplementary heater is also needed. This value is to be found on the fiche of this supplementary heater.</w:t>
      </w:r>
    </w:p>
    <w:p w:rsidR="00FA4D22" w:rsidRDefault="00FA4D22" w:rsidP="00FA4D22">
      <w:pPr>
        <w:pStyle w:val="Heading4"/>
      </w:pPr>
      <w:r>
        <w:t>Temperature control</w:t>
      </w:r>
    </w:p>
    <w:p w:rsidR="00FA4D22" w:rsidRDefault="00FA4D22" w:rsidP="00FA4D22">
      <w:r>
        <w:t xml:space="preserve">Depending on the temperature control class, different correction factors are used, </w:t>
      </w:r>
      <w:r w:rsidR="00282E94">
        <w:t>defined in</w:t>
      </w:r>
      <w:r>
        <w:t xml:space="preserve"> classes. The class of the temperature control can be found on the fiche of the temperature control.</w:t>
      </w:r>
    </w:p>
    <w:p w:rsidR="00FA4D22" w:rsidRPr="007319ED" w:rsidRDefault="00FA4D22" w:rsidP="00687707">
      <w:pPr>
        <w:numPr>
          <w:ilvl w:val="0"/>
          <w:numId w:val="19"/>
        </w:numPr>
      </w:pPr>
      <w:r w:rsidRPr="007319ED">
        <w:t>Class I - On/off Room Thermostat: A room thermostat that controls the on/off operation of a heater. Performance parameters, including switching differential and room temperature control accuracy are determined by the thermostat's mechanical construction.</w:t>
      </w:r>
    </w:p>
    <w:p w:rsidR="00FA4D22" w:rsidRPr="007319ED" w:rsidRDefault="00FA4D22" w:rsidP="00687707">
      <w:pPr>
        <w:numPr>
          <w:ilvl w:val="0"/>
          <w:numId w:val="19"/>
        </w:numPr>
      </w:pPr>
      <w:r w:rsidRPr="007319ED">
        <w:t xml:space="preserve">Class II - Weather compensator control, for use with modulating heaters: A heater flow temperature control that varies the set point of the flow temperature of water leaving the heater </w:t>
      </w:r>
      <w:r w:rsidR="007319ED" w:rsidRPr="007319ED">
        <w:t>dependent</w:t>
      </w:r>
      <w:r w:rsidRPr="007319ED">
        <w:t xml:space="preserve"> upon prevailing outside temperature and selected weather compensation curve. Control is achieved by modulating the output of the heater.</w:t>
      </w:r>
    </w:p>
    <w:p w:rsidR="00FA4D22" w:rsidRPr="007319ED" w:rsidRDefault="00FA4D22" w:rsidP="00687707">
      <w:pPr>
        <w:numPr>
          <w:ilvl w:val="0"/>
          <w:numId w:val="19"/>
        </w:numPr>
      </w:pPr>
      <w:r w:rsidRPr="007319ED">
        <w:t xml:space="preserve">Class III - Weather compensator control, for use with on/off output heaters: A heater flow temperature control that varies the set point of the flow temperature of water leaving the heater </w:t>
      </w:r>
      <w:r w:rsidR="007319ED" w:rsidRPr="007319ED">
        <w:t>dependent</w:t>
      </w:r>
      <w:r w:rsidRPr="007319ED">
        <w:t xml:space="preserve"> upon prevailing outside temperature and selected weather compensation curve. Heater flow temperature is varied by controlling the on/off operation of the heater.</w:t>
      </w:r>
    </w:p>
    <w:p w:rsidR="00FA4D22" w:rsidRPr="007319ED" w:rsidRDefault="00FA4D22" w:rsidP="00687707">
      <w:pPr>
        <w:numPr>
          <w:ilvl w:val="0"/>
          <w:numId w:val="19"/>
        </w:numPr>
      </w:pPr>
      <w:r w:rsidRPr="007319ED">
        <w:t>Class IV - TPI room thermostat, for use with on/off output heaters: An electronic room thermostat that controls both thermostat cycle rate and in-cycle on/off ratio of the heater proportional to room temperature. TPI control strategy reduces mean water temperature, improves room temperature control accuracy and enhances system efficiency.</w:t>
      </w:r>
    </w:p>
    <w:p w:rsidR="00FA4D22" w:rsidRPr="007319ED" w:rsidRDefault="00FA4D22" w:rsidP="00687707">
      <w:pPr>
        <w:numPr>
          <w:ilvl w:val="0"/>
          <w:numId w:val="19"/>
        </w:numPr>
      </w:pPr>
      <w:r w:rsidRPr="007319ED">
        <w:t xml:space="preserve">Class V - Modulating room thermostat, for use with modulating heaters: An electronic room thermostat that varies the flow temperature of the water leaving the heater </w:t>
      </w:r>
      <w:r w:rsidR="007319ED" w:rsidRPr="007319ED">
        <w:t>dependent</w:t>
      </w:r>
      <w:r w:rsidRPr="007319ED">
        <w:t xml:space="preserve"> upon measured room temperature deviation from room thermostat set point. Control is achieved by modulating the output of the heater.</w:t>
      </w:r>
    </w:p>
    <w:p w:rsidR="00FA4D22" w:rsidRPr="007319ED" w:rsidRDefault="00FA4D22" w:rsidP="00687707">
      <w:pPr>
        <w:numPr>
          <w:ilvl w:val="0"/>
          <w:numId w:val="19"/>
        </w:numPr>
      </w:pPr>
      <w:r w:rsidRPr="007319ED">
        <w:t xml:space="preserve">Class VI - Weather compensator and room sensor, for use with modulating heaters: A heater flow temperature control that varies the flow temperature of water leaving the heater </w:t>
      </w:r>
      <w:r w:rsidR="007319ED" w:rsidRPr="007319ED">
        <w:t>dependent</w:t>
      </w:r>
      <w:r w:rsidRPr="007319ED">
        <w:t xml:space="preserve"> upon prevailing outside temperature and selected weather compensation curve. A room temperature sensor monitors room </w:t>
      </w:r>
      <w:r w:rsidRPr="007319ED">
        <w:lastRenderedPageBreak/>
        <w:t>temperature and adjusts the compensation curve parallel displacement to improve room comfort. Control is achieved by modulating the output of the heater.</w:t>
      </w:r>
    </w:p>
    <w:p w:rsidR="00FA4D22" w:rsidRPr="007319ED" w:rsidRDefault="00FA4D22" w:rsidP="00687707">
      <w:pPr>
        <w:numPr>
          <w:ilvl w:val="0"/>
          <w:numId w:val="19"/>
        </w:numPr>
      </w:pPr>
      <w:r w:rsidRPr="007319ED">
        <w:t xml:space="preserve">Class VII - Weather compensator and room sensor, for use with on/off output heaters: A heater flow temperature control that varies the flow temperature of water leaving the heater </w:t>
      </w:r>
      <w:r w:rsidR="007319ED" w:rsidRPr="007319ED">
        <w:t>dependent</w:t>
      </w:r>
      <w:r w:rsidRPr="007319ED">
        <w:t xml:space="preserve"> upon prevailing outside temperature and selected weather compensation curve. A room temperature sensor monitors room temperature and adjusts the compensation curve parallel displacement to improve room comfort. Heater flow temperature is varied by controlling the on/off operation of the heater.</w:t>
      </w:r>
    </w:p>
    <w:p w:rsidR="00FA4D22" w:rsidRPr="007319ED" w:rsidRDefault="00FA4D22" w:rsidP="00687707">
      <w:pPr>
        <w:numPr>
          <w:ilvl w:val="0"/>
          <w:numId w:val="19"/>
        </w:numPr>
      </w:pPr>
      <w:r w:rsidRPr="007319ED">
        <w:t xml:space="preserve">Class VIII – Multi-sensor room temperature control, for use with modulating heaters: An electronic control, equipped with 3 or more room sensors that varies the flow temperature of the water leaving the heater </w:t>
      </w:r>
      <w:r w:rsidR="007319ED" w:rsidRPr="007319ED">
        <w:t>dependent</w:t>
      </w:r>
      <w:r w:rsidRPr="007319ED">
        <w:t xml:space="preserve"> upon the aggregated measured room temperature deviation from room sensor set points. Control is achieved by modulating the output of the heater.</w:t>
      </w:r>
    </w:p>
    <w:p w:rsidR="00FA4D22" w:rsidRDefault="00FA4D22" w:rsidP="00FA4D22">
      <w:r>
        <w:t>The correction factor per class is:</w:t>
      </w:r>
    </w:p>
    <w:tbl>
      <w:tblPr>
        <w:tblW w:w="5000" w:type="pct"/>
        <w:tblBorders>
          <w:insideH w:val="single" w:sz="4" w:space="0" w:color="auto"/>
        </w:tblBorders>
        <w:tblLook w:val="04A0" w:firstRow="1" w:lastRow="0" w:firstColumn="1" w:lastColumn="0" w:noHBand="0" w:noVBand="1"/>
      </w:tblPr>
      <w:tblGrid>
        <w:gridCol w:w="1065"/>
        <w:gridCol w:w="1065"/>
        <w:gridCol w:w="1066"/>
        <w:gridCol w:w="1066"/>
        <w:gridCol w:w="1065"/>
        <w:gridCol w:w="1065"/>
        <w:gridCol w:w="1065"/>
        <w:gridCol w:w="1065"/>
      </w:tblGrid>
      <w:tr w:rsidR="00FA4D22" w:rsidTr="00687707">
        <w:tc>
          <w:tcPr>
            <w:tcW w:w="624" w:type="pct"/>
            <w:shd w:val="clear" w:color="auto" w:fill="auto"/>
            <w:vAlign w:val="center"/>
          </w:tcPr>
          <w:p w:rsidR="00FA4D22" w:rsidRPr="00687707" w:rsidRDefault="00FA4D22" w:rsidP="00687707">
            <w:pPr>
              <w:spacing w:before="0" w:after="0"/>
              <w:jc w:val="center"/>
              <w:rPr>
                <w:rFonts w:eastAsia="Calibri"/>
                <w:sz w:val="20"/>
                <w:szCs w:val="20"/>
              </w:rPr>
            </w:pPr>
            <w:r w:rsidRPr="00687707">
              <w:rPr>
                <w:rFonts w:eastAsia="Calibri"/>
                <w:sz w:val="20"/>
                <w:szCs w:val="20"/>
              </w:rPr>
              <w:t>Class I</w:t>
            </w:r>
          </w:p>
        </w:tc>
        <w:tc>
          <w:tcPr>
            <w:tcW w:w="624" w:type="pct"/>
            <w:shd w:val="clear" w:color="auto" w:fill="auto"/>
            <w:vAlign w:val="center"/>
          </w:tcPr>
          <w:p w:rsidR="00FA4D22" w:rsidRPr="00687707" w:rsidRDefault="00FA4D22" w:rsidP="00687707">
            <w:pPr>
              <w:spacing w:before="0" w:after="0"/>
              <w:jc w:val="center"/>
              <w:rPr>
                <w:rFonts w:eastAsia="Calibri"/>
                <w:sz w:val="20"/>
                <w:szCs w:val="20"/>
              </w:rPr>
            </w:pPr>
            <w:r w:rsidRPr="00687707">
              <w:rPr>
                <w:rFonts w:eastAsia="Calibri"/>
                <w:sz w:val="20"/>
                <w:szCs w:val="20"/>
              </w:rPr>
              <w:t>Class II</w:t>
            </w:r>
          </w:p>
        </w:tc>
        <w:tc>
          <w:tcPr>
            <w:tcW w:w="625" w:type="pct"/>
            <w:shd w:val="clear" w:color="auto" w:fill="auto"/>
            <w:vAlign w:val="center"/>
          </w:tcPr>
          <w:p w:rsidR="00FA4D22" w:rsidRPr="00687707" w:rsidRDefault="00FA4D22" w:rsidP="00687707">
            <w:pPr>
              <w:spacing w:before="0" w:after="0"/>
              <w:jc w:val="center"/>
              <w:rPr>
                <w:rFonts w:eastAsia="Calibri"/>
                <w:sz w:val="20"/>
                <w:szCs w:val="20"/>
              </w:rPr>
            </w:pPr>
            <w:r w:rsidRPr="00687707">
              <w:rPr>
                <w:rFonts w:eastAsia="Calibri"/>
                <w:sz w:val="20"/>
                <w:szCs w:val="20"/>
              </w:rPr>
              <w:t>Class III</w:t>
            </w:r>
          </w:p>
        </w:tc>
        <w:tc>
          <w:tcPr>
            <w:tcW w:w="625" w:type="pct"/>
            <w:shd w:val="clear" w:color="auto" w:fill="auto"/>
            <w:vAlign w:val="center"/>
          </w:tcPr>
          <w:p w:rsidR="00FA4D22" w:rsidRPr="00687707" w:rsidRDefault="00FA4D22" w:rsidP="00687707">
            <w:pPr>
              <w:spacing w:before="0" w:after="0"/>
              <w:jc w:val="center"/>
              <w:rPr>
                <w:rFonts w:eastAsia="Calibri"/>
                <w:sz w:val="20"/>
                <w:szCs w:val="20"/>
              </w:rPr>
            </w:pPr>
            <w:r w:rsidRPr="00687707">
              <w:rPr>
                <w:rFonts w:eastAsia="Calibri"/>
                <w:sz w:val="20"/>
                <w:szCs w:val="20"/>
              </w:rPr>
              <w:t>Class IV</w:t>
            </w:r>
          </w:p>
        </w:tc>
        <w:tc>
          <w:tcPr>
            <w:tcW w:w="625" w:type="pct"/>
            <w:shd w:val="clear" w:color="auto" w:fill="auto"/>
            <w:vAlign w:val="center"/>
          </w:tcPr>
          <w:p w:rsidR="00FA4D22" w:rsidRPr="00687707" w:rsidRDefault="00FA4D22" w:rsidP="00687707">
            <w:pPr>
              <w:spacing w:before="0" w:after="0"/>
              <w:jc w:val="center"/>
              <w:rPr>
                <w:rFonts w:eastAsia="Calibri"/>
                <w:sz w:val="20"/>
                <w:szCs w:val="20"/>
              </w:rPr>
            </w:pPr>
            <w:r w:rsidRPr="00687707">
              <w:rPr>
                <w:rFonts w:eastAsia="Calibri"/>
                <w:sz w:val="20"/>
                <w:szCs w:val="20"/>
              </w:rPr>
              <w:t>Class V</w:t>
            </w:r>
          </w:p>
        </w:tc>
        <w:tc>
          <w:tcPr>
            <w:tcW w:w="625" w:type="pct"/>
            <w:shd w:val="clear" w:color="auto" w:fill="auto"/>
            <w:vAlign w:val="center"/>
          </w:tcPr>
          <w:p w:rsidR="00FA4D22" w:rsidRPr="00687707" w:rsidRDefault="00FA4D22" w:rsidP="00687707">
            <w:pPr>
              <w:spacing w:before="0" w:after="0"/>
              <w:jc w:val="center"/>
              <w:rPr>
                <w:rFonts w:eastAsia="Calibri"/>
                <w:sz w:val="20"/>
                <w:szCs w:val="20"/>
              </w:rPr>
            </w:pPr>
            <w:r w:rsidRPr="00687707">
              <w:rPr>
                <w:rFonts w:eastAsia="Calibri"/>
                <w:sz w:val="20"/>
                <w:szCs w:val="20"/>
              </w:rPr>
              <w:t>Class VI</w:t>
            </w:r>
          </w:p>
        </w:tc>
        <w:tc>
          <w:tcPr>
            <w:tcW w:w="625" w:type="pct"/>
            <w:shd w:val="clear" w:color="auto" w:fill="auto"/>
            <w:vAlign w:val="center"/>
          </w:tcPr>
          <w:p w:rsidR="00FA4D22" w:rsidRPr="00687707" w:rsidRDefault="00FA4D22" w:rsidP="00687707">
            <w:pPr>
              <w:spacing w:before="0" w:after="0"/>
              <w:jc w:val="center"/>
              <w:rPr>
                <w:rFonts w:eastAsia="Calibri"/>
                <w:sz w:val="20"/>
                <w:szCs w:val="20"/>
              </w:rPr>
            </w:pPr>
            <w:r w:rsidRPr="00687707">
              <w:rPr>
                <w:rFonts w:eastAsia="Calibri"/>
                <w:sz w:val="20"/>
                <w:szCs w:val="20"/>
              </w:rPr>
              <w:t>Class VII</w:t>
            </w:r>
          </w:p>
        </w:tc>
        <w:tc>
          <w:tcPr>
            <w:tcW w:w="625" w:type="pct"/>
            <w:shd w:val="clear" w:color="auto" w:fill="auto"/>
            <w:vAlign w:val="center"/>
          </w:tcPr>
          <w:p w:rsidR="00FA4D22" w:rsidRPr="00687707" w:rsidRDefault="00FA4D22" w:rsidP="00687707">
            <w:pPr>
              <w:spacing w:before="0" w:after="0"/>
              <w:jc w:val="center"/>
              <w:rPr>
                <w:rFonts w:eastAsia="Calibri"/>
                <w:sz w:val="20"/>
                <w:szCs w:val="20"/>
              </w:rPr>
            </w:pPr>
            <w:r w:rsidRPr="00687707">
              <w:rPr>
                <w:rFonts w:eastAsia="Calibri"/>
                <w:sz w:val="20"/>
                <w:szCs w:val="20"/>
              </w:rPr>
              <w:t>Class VIII</w:t>
            </w:r>
          </w:p>
        </w:tc>
      </w:tr>
      <w:tr w:rsidR="00FA4D22" w:rsidTr="00687707">
        <w:tc>
          <w:tcPr>
            <w:tcW w:w="624" w:type="pct"/>
            <w:shd w:val="clear" w:color="auto" w:fill="auto"/>
            <w:vAlign w:val="center"/>
          </w:tcPr>
          <w:p w:rsidR="00FA4D22" w:rsidRPr="00687707" w:rsidRDefault="00FA4D22" w:rsidP="00687707">
            <w:pPr>
              <w:spacing w:before="0" w:after="0"/>
              <w:jc w:val="center"/>
              <w:rPr>
                <w:rFonts w:eastAsia="Calibri"/>
                <w:sz w:val="20"/>
                <w:szCs w:val="20"/>
              </w:rPr>
            </w:pPr>
            <w:r w:rsidRPr="00687707">
              <w:rPr>
                <w:rFonts w:eastAsia="Calibri"/>
                <w:sz w:val="20"/>
                <w:szCs w:val="20"/>
              </w:rPr>
              <w:t>1%</w:t>
            </w:r>
          </w:p>
        </w:tc>
        <w:tc>
          <w:tcPr>
            <w:tcW w:w="624" w:type="pct"/>
            <w:shd w:val="clear" w:color="auto" w:fill="auto"/>
            <w:vAlign w:val="center"/>
          </w:tcPr>
          <w:p w:rsidR="00FA4D22" w:rsidRPr="00687707" w:rsidRDefault="00FA4D22" w:rsidP="00687707">
            <w:pPr>
              <w:spacing w:before="0" w:after="0"/>
              <w:jc w:val="center"/>
              <w:rPr>
                <w:rFonts w:eastAsia="Calibri"/>
                <w:sz w:val="20"/>
                <w:szCs w:val="20"/>
              </w:rPr>
            </w:pPr>
            <w:r w:rsidRPr="00687707">
              <w:rPr>
                <w:rFonts w:eastAsia="Calibri"/>
                <w:sz w:val="20"/>
                <w:szCs w:val="20"/>
              </w:rPr>
              <w:t>2%</w:t>
            </w:r>
          </w:p>
        </w:tc>
        <w:tc>
          <w:tcPr>
            <w:tcW w:w="625" w:type="pct"/>
            <w:shd w:val="clear" w:color="auto" w:fill="auto"/>
            <w:vAlign w:val="center"/>
          </w:tcPr>
          <w:p w:rsidR="00FA4D22" w:rsidRPr="00687707" w:rsidRDefault="00FA4D22" w:rsidP="00687707">
            <w:pPr>
              <w:spacing w:before="0" w:after="0"/>
              <w:jc w:val="center"/>
              <w:rPr>
                <w:rFonts w:eastAsia="Calibri"/>
                <w:sz w:val="20"/>
                <w:szCs w:val="20"/>
              </w:rPr>
            </w:pPr>
            <w:r w:rsidRPr="00687707">
              <w:rPr>
                <w:rFonts w:eastAsia="Calibri"/>
                <w:sz w:val="20"/>
                <w:szCs w:val="20"/>
              </w:rPr>
              <w:t>1.5%</w:t>
            </w:r>
          </w:p>
        </w:tc>
        <w:tc>
          <w:tcPr>
            <w:tcW w:w="625" w:type="pct"/>
            <w:shd w:val="clear" w:color="auto" w:fill="auto"/>
            <w:vAlign w:val="center"/>
          </w:tcPr>
          <w:p w:rsidR="00FA4D22" w:rsidRPr="00687707" w:rsidRDefault="00FA4D22" w:rsidP="00687707">
            <w:pPr>
              <w:spacing w:before="0" w:after="0"/>
              <w:jc w:val="center"/>
              <w:rPr>
                <w:rFonts w:eastAsia="Calibri"/>
                <w:sz w:val="20"/>
                <w:szCs w:val="20"/>
              </w:rPr>
            </w:pPr>
            <w:r w:rsidRPr="00687707">
              <w:rPr>
                <w:rFonts w:eastAsia="Calibri"/>
                <w:sz w:val="20"/>
                <w:szCs w:val="20"/>
              </w:rPr>
              <w:t>2%</w:t>
            </w:r>
          </w:p>
        </w:tc>
        <w:tc>
          <w:tcPr>
            <w:tcW w:w="625" w:type="pct"/>
            <w:shd w:val="clear" w:color="auto" w:fill="auto"/>
            <w:vAlign w:val="center"/>
          </w:tcPr>
          <w:p w:rsidR="00FA4D22" w:rsidRPr="00687707" w:rsidRDefault="00FA4D22" w:rsidP="00687707">
            <w:pPr>
              <w:spacing w:before="0" w:after="0"/>
              <w:jc w:val="center"/>
              <w:rPr>
                <w:rFonts w:eastAsia="Calibri"/>
                <w:sz w:val="20"/>
                <w:szCs w:val="20"/>
              </w:rPr>
            </w:pPr>
            <w:r w:rsidRPr="00687707">
              <w:rPr>
                <w:rFonts w:eastAsia="Calibri"/>
                <w:sz w:val="20"/>
                <w:szCs w:val="20"/>
              </w:rPr>
              <w:t>3%</w:t>
            </w:r>
          </w:p>
        </w:tc>
        <w:tc>
          <w:tcPr>
            <w:tcW w:w="625" w:type="pct"/>
            <w:shd w:val="clear" w:color="auto" w:fill="auto"/>
            <w:vAlign w:val="center"/>
          </w:tcPr>
          <w:p w:rsidR="00FA4D22" w:rsidRPr="00687707" w:rsidRDefault="00FA4D22" w:rsidP="00687707">
            <w:pPr>
              <w:spacing w:before="0" w:after="0"/>
              <w:jc w:val="center"/>
              <w:rPr>
                <w:rFonts w:eastAsia="Calibri"/>
                <w:sz w:val="20"/>
                <w:szCs w:val="20"/>
              </w:rPr>
            </w:pPr>
            <w:r w:rsidRPr="00687707">
              <w:rPr>
                <w:rFonts w:eastAsia="Calibri"/>
                <w:sz w:val="20"/>
                <w:szCs w:val="20"/>
              </w:rPr>
              <w:t>4%</w:t>
            </w:r>
          </w:p>
        </w:tc>
        <w:tc>
          <w:tcPr>
            <w:tcW w:w="625" w:type="pct"/>
            <w:shd w:val="clear" w:color="auto" w:fill="auto"/>
            <w:vAlign w:val="center"/>
          </w:tcPr>
          <w:p w:rsidR="00FA4D22" w:rsidRPr="00687707" w:rsidRDefault="00FA4D22" w:rsidP="00687707">
            <w:pPr>
              <w:spacing w:before="0" w:after="0"/>
              <w:jc w:val="center"/>
              <w:rPr>
                <w:rFonts w:eastAsia="Calibri"/>
                <w:sz w:val="20"/>
                <w:szCs w:val="20"/>
              </w:rPr>
            </w:pPr>
            <w:r w:rsidRPr="00687707">
              <w:rPr>
                <w:rFonts w:eastAsia="Calibri"/>
                <w:sz w:val="20"/>
                <w:szCs w:val="20"/>
              </w:rPr>
              <w:t>3.5%</w:t>
            </w:r>
          </w:p>
        </w:tc>
        <w:tc>
          <w:tcPr>
            <w:tcW w:w="625" w:type="pct"/>
            <w:shd w:val="clear" w:color="auto" w:fill="auto"/>
            <w:vAlign w:val="center"/>
          </w:tcPr>
          <w:p w:rsidR="00FA4D22" w:rsidRPr="00687707" w:rsidRDefault="00FA4D22" w:rsidP="00687707">
            <w:pPr>
              <w:spacing w:before="0" w:after="0"/>
              <w:jc w:val="center"/>
              <w:rPr>
                <w:rFonts w:eastAsia="Calibri"/>
                <w:sz w:val="20"/>
                <w:szCs w:val="20"/>
              </w:rPr>
            </w:pPr>
            <w:r w:rsidRPr="00687707">
              <w:rPr>
                <w:rFonts w:eastAsia="Calibri"/>
                <w:sz w:val="20"/>
                <w:szCs w:val="20"/>
              </w:rPr>
              <w:t>5%</w:t>
            </w:r>
          </w:p>
        </w:tc>
      </w:tr>
    </w:tbl>
    <w:p w:rsidR="00FA4D22" w:rsidRDefault="00FA4D22" w:rsidP="00FA4D22">
      <w:pPr>
        <w:pStyle w:val="Heading4"/>
      </w:pPr>
      <w:r>
        <w:t>Weighting of the heat output of preferentia</w:t>
      </w:r>
      <w:r w:rsidR="007319ED">
        <w:t>l and supplementary heaters (II)</w:t>
      </w:r>
    </w:p>
    <w:p w:rsidR="00FA4D22" w:rsidRDefault="00FA4D22" w:rsidP="00FA4D22">
      <w:r>
        <w:t>This weighting factor depends on the results of the expression:</w:t>
      </w:r>
    </w:p>
    <w:p w:rsidR="00FA4D22" w:rsidRPr="00A60D3A" w:rsidRDefault="009B2939" w:rsidP="007319ED">
      <w:pPr>
        <w:jc w:val="center"/>
      </w:pPr>
      <m:oMathPara>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sup</m:t>
                  </m:r>
                </m:sub>
              </m:sSub>
            </m:num>
            <m:den>
              <m:sSub>
                <m:sSubPr>
                  <m:ctrlPr>
                    <w:rPr>
                      <w:rFonts w:ascii="Cambria Math" w:hAnsi="Cambria Math"/>
                      <w:i/>
                    </w:rPr>
                  </m:ctrlPr>
                </m:sSubPr>
                <m:e>
                  <m:r>
                    <w:rPr>
                      <w:rFonts w:ascii="Cambria Math" w:hAnsi="Cambria Math"/>
                    </w:rPr>
                    <m:t>P</m:t>
                  </m:r>
                </m:e>
                <m:sub>
                  <m:r>
                    <w:rPr>
                      <w:rFonts w:ascii="Cambria Math" w:hAnsi="Cambria Math"/>
                    </w:rPr>
                    <m:t>rated</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sup</m:t>
                  </m:r>
                </m:sub>
              </m:sSub>
            </m:den>
          </m:f>
        </m:oMath>
      </m:oMathPara>
    </w:p>
    <w:p w:rsidR="00FA4D22" w:rsidRDefault="00FA4D22" w:rsidP="007E0C98">
      <w:proofErr w:type="spellStart"/>
      <w:r>
        <w:rPr>
          <w:i/>
          <w:iCs/>
        </w:rPr>
        <w:t>P</w:t>
      </w:r>
      <w:r w:rsidRPr="009C3EF3">
        <w:rPr>
          <w:i/>
          <w:iCs/>
          <w:vertAlign w:val="subscript"/>
        </w:rPr>
        <w:t>sup</w:t>
      </w:r>
      <w:proofErr w:type="spellEnd"/>
      <w:r>
        <w:t xml:space="preserve"> means the declared heat output of the supplementary heater while P</w:t>
      </w:r>
      <w:r w:rsidRPr="009C3EF3">
        <w:rPr>
          <w:vertAlign w:val="subscript"/>
        </w:rPr>
        <w:t>rated</w:t>
      </w:r>
      <w:r>
        <w:t xml:space="preserve"> refers to the preferential heater.</w:t>
      </w:r>
    </w:p>
    <w:p w:rsidR="00FA4D22" w:rsidRPr="0065256A" w:rsidRDefault="00FA4D22" w:rsidP="00FA4D22">
      <w:r>
        <w:t xml:space="preserve">Depending on the result of the above expression and on the presence of </w:t>
      </w:r>
      <w:r w:rsidR="007319ED">
        <w:t>a</w:t>
      </w:r>
      <w:r>
        <w:t xml:space="preserve"> storage tank, “II” is provided in the Regulations</w:t>
      </w:r>
    </w:p>
    <w:p w:rsidR="00FA4D22" w:rsidRPr="00EE7197" w:rsidRDefault="007319ED" w:rsidP="007E0C98">
      <w:pPr>
        <w:rPr>
          <w:sz w:val="14"/>
          <w:szCs w:val="14"/>
        </w:rPr>
      </w:pPr>
      <w:r>
        <w:t>For preferential</w:t>
      </w:r>
      <w:r w:rsidR="00FA4D22">
        <w:t xml:space="preserve"> boiler space heater</w:t>
      </w:r>
      <w:r>
        <w:t>s</w:t>
      </w:r>
      <w:r w:rsidR="00FA4D22">
        <w:t xml:space="preserve"> or boiler combination heater</w:t>
      </w:r>
      <w:r>
        <w:t>s the following table shall be used:</w:t>
      </w:r>
    </w:p>
    <w:tbl>
      <w:tblPr>
        <w:tblW w:w="5000" w:type="pct"/>
        <w:tblBorders>
          <w:insideH w:val="single" w:sz="4" w:space="0" w:color="auto"/>
        </w:tblBorders>
        <w:tblLook w:val="04A0" w:firstRow="1" w:lastRow="0" w:firstColumn="1" w:lastColumn="0" w:noHBand="0" w:noVBand="1"/>
      </w:tblPr>
      <w:tblGrid>
        <w:gridCol w:w="2842"/>
        <w:gridCol w:w="2840"/>
        <w:gridCol w:w="2840"/>
      </w:tblGrid>
      <w:tr w:rsidR="00FA4D22" w:rsidTr="00687707">
        <w:tc>
          <w:tcPr>
            <w:tcW w:w="1668" w:type="pct"/>
            <w:shd w:val="clear" w:color="auto" w:fill="auto"/>
            <w:vAlign w:val="center"/>
          </w:tcPr>
          <w:p w:rsidR="00FA4D22" w:rsidRPr="00687707" w:rsidRDefault="00FA4D22" w:rsidP="00687707">
            <w:pPr>
              <w:spacing w:before="0" w:after="0"/>
              <w:jc w:val="center"/>
              <w:rPr>
                <w:rFonts w:eastAsia="Calibri"/>
                <w:color w:val="000000"/>
                <w:sz w:val="20"/>
                <w:szCs w:val="20"/>
              </w:rPr>
            </w:pPr>
            <w:proofErr w:type="spellStart"/>
            <w:r w:rsidRPr="00687707">
              <w:rPr>
                <w:rFonts w:eastAsia="Calibri"/>
                <w:color w:val="000000"/>
                <w:sz w:val="20"/>
                <w:szCs w:val="20"/>
              </w:rPr>
              <w:t>P</w:t>
            </w:r>
            <w:r w:rsidRPr="00687707">
              <w:rPr>
                <w:rFonts w:eastAsia="Calibri"/>
                <w:color w:val="000000"/>
                <w:sz w:val="20"/>
                <w:szCs w:val="20"/>
                <w:vertAlign w:val="subscript"/>
              </w:rPr>
              <w:t>sup</w:t>
            </w:r>
            <w:proofErr w:type="spellEnd"/>
            <w:r w:rsidRPr="00687707">
              <w:rPr>
                <w:rFonts w:eastAsia="Calibri"/>
                <w:color w:val="000000"/>
                <w:sz w:val="20"/>
                <w:szCs w:val="20"/>
              </w:rPr>
              <w:t xml:space="preserve"> /</w:t>
            </w:r>
            <w:r w:rsidR="007319ED" w:rsidRPr="00687707">
              <w:rPr>
                <w:rFonts w:eastAsia="Calibri"/>
                <w:color w:val="000000"/>
                <w:sz w:val="20"/>
                <w:szCs w:val="20"/>
              </w:rPr>
              <w:t xml:space="preserve"> </w:t>
            </w:r>
            <w:r w:rsidRPr="00687707">
              <w:rPr>
                <w:rFonts w:eastAsia="Calibri"/>
                <w:color w:val="000000"/>
                <w:sz w:val="20"/>
                <w:szCs w:val="20"/>
              </w:rPr>
              <w:t>(P</w:t>
            </w:r>
            <w:r w:rsidRPr="00687707">
              <w:rPr>
                <w:rFonts w:eastAsia="Calibri"/>
                <w:color w:val="000000"/>
                <w:sz w:val="20"/>
                <w:szCs w:val="20"/>
                <w:vertAlign w:val="subscript"/>
              </w:rPr>
              <w:t>rated</w:t>
            </w:r>
            <w:r w:rsidRPr="00687707">
              <w:rPr>
                <w:rFonts w:eastAsia="Calibri"/>
                <w:color w:val="000000"/>
                <w:sz w:val="20"/>
                <w:szCs w:val="20"/>
              </w:rPr>
              <w:t xml:space="preserve"> + </w:t>
            </w:r>
            <w:proofErr w:type="spellStart"/>
            <w:r w:rsidRPr="00687707">
              <w:rPr>
                <w:rFonts w:eastAsia="Calibri"/>
                <w:color w:val="000000"/>
                <w:sz w:val="20"/>
                <w:szCs w:val="20"/>
              </w:rPr>
              <w:t>P</w:t>
            </w:r>
            <w:r w:rsidRPr="00687707">
              <w:rPr>
                <w:rFonts w:eastAsia="Calibri"/>
                <w:color w:val="000000"/>
                <w:sz w:val="20"/>
                <w:szCs w:val="20"/>
                <w:vertAlign w:val="subscript"/>
              </w:rPr>
              <w:t>sup</w:t>
            </w:r>
            <w:proofErr w:type="spellEnd"/>
            <w:r w:rsidRPr="00687707">
              <w:rPr>
                <w:rFonts w:eastAsia="Calibri"/>
                <w:color w:val="000000"/>
                <w:sz w:val="20"/>
                <w:szCs w:val="20"/>
              </w:rPr>
              <w:t>)</w:t>
            </w:r>
          </w:p>
        </w:tc>
        <w:tc>
          <w:tcPr>
            <w:tcW w:w="1666" w:type="pct"/>
            <w:shd w:val="clear" w:color="auto" w:fill="auto"/>
            <w:vAlign w:val="center"/>
          </w:tcPr>
          <w:p w:rsidR="00FA4D22" w:rsidRPr="00687707" w:rsidRDefault="007319ED" w:rsidP="00687707">
            <w:pPr>
              <w:spacing w:before="0" w:after="0"/>
              <w:jc w:val="center"/>
              <w:rPr>
                <w:rFonts w:eastAsia="Calibri"/>
                <w:color w:val="000000"/>
                <w:sz w:val="20"/>
                <w:szCs w:val="20"/>
              </w:rPr>
            </w:pPr>
            <w:r w:rsidRPr="00687707">
              <w:rPr>
                <w:rFonts w:eastAsia="Calibri"/>
                <w:color w:val="000000"/>
                <w:sz w:val="20"/>
                <w:szCs w:val="20"/>
              </w:rPr>
              <w:t>W</w:t>
            </w:r>
            <w:r w:rsidR="00FA4D22" w:rsidRPr="00687707">
              <w:rPr>
                <w:rFonts w:eastAsia="Calibri"/>
                <w:color w:val="000000"/>
                <w:sz w:val="20"/>
                <w:szCs w:val="20"/>
              </w:rPr>
              <w:t>ith storage tank</w:t>
            </w:r>
          </w:p>
        </w:tc>
        <w:tc>
          <w:tcPr>
            <w:tcW w:w="1666" w:type="pct"/>
            <w:shd w:val="clear" w:color="auto" w:fill="auto"/>
            <w:vAlign w:val="center"/>
          </w:tcPr>
          <w:p w:rsidR="00FA4D22" w:rsidRPr="00687707" w:rsidRDefault="007319ED" w:rsidP="00687707">
            <w:pPr>
              <w:spacing w:before="0" w:after="0"/>
              <w:jc w:val="center"/>
              <w:rPr>
                <w:rFonts w:eastAsia="Calibri"/>
                <w:color w:val="000000"/>
                <w:sz w:val="20"/>
                <w:szCs w:val="20"/>
              </w:rPr>
            </w:pPr>
            <w:r w:rsidRPr="00687707">
              <w:rPr>
                <w:rFonts w:eastAsia="Calibri"/>
                <w:color w:val="000000"/>
                <w:sz w:val="20"/>
                <w:szCs w:val="20"/>
              </w:rPr>
              <w:t>W</w:t>
            </w:r>
            <w:r w:rsidR="00FA4D22" w:rsidRPr="00687707">
              <w:rPr>
                <w:rFonts w:eastAsia="Calibri"/>
                <w:color w:val="000000"/>
                <w:sz w:val="20"/>
                <w:szCs w:val="20"/>
              </w:rPr>
              <w:t>ithout</w:t>
            </w:r>
            <w:r w:rsidRPr="00687707">
              <w:rPr>
                <w:rFonts w:eastAsia="Calibri"/>
                <w:color w:val="000000"/>
                <w:sz w:val="20"/>
                <w:szCs w:val="20"/>
              </w:rPr>
              <w:t xml:space="preserve"> </w:t>
            </w:r>
            <w:r w:rsidR="00FA4D22" w:rsidRPr="00687707">
              <w:rPr>
                <w:rFonts w:eastAsia="Calibri"/>
                <w:color w:val="000000"/>
                <w:sz w:val="20"/>
                <w:szCs w:val="20"/>
              </w:rPr>
              <w:t>storage tank</w:t>
            </w:r>
          </w:p>
        </w:tc>
      </w:tr>
      <w:tr w:rsidR="00FA4D22" w:rsidTr="00687707">
        <w:tc>
          <w:tcPr>
            <w:tcW w:w="1668" w:type="pct"/>
            <w:shd w:val="clear" w:color="auto" w:fill="auto"/>
            <w:vAlign w:val="center"/>
          </w:tcPr>
          <w:p w:rsidR="00FA4D22" w:rsidRPr="00687707" w:rsidRDefault="00FA4D22" w:rsidP="00687707">
            <w:pPr>
              <w:spacing w:before="0" w:after="0"/>
              <w:jc w:val="center"/>
              <w:rPr>
                <w:rFonts w:eastAsia="Calibri"/>
                <w:color w:val="000000"/>
                <w:sz w:val="20"/>
                <w:szCs w:val="20"/>
              </w:rPr>
            </w:pPr>
            <w:r w:rsidRPr="00687707">
              <w:rPr>
                <w:rFonts w:eastAsia="Calibri"/>
                <w:color w:val="000000"/>
                <w:sz w:val="20"/>
                <w:szCs w:val="20"/>
              </w:rPr>
              <w:t>0</w:t>
            </w:r>
          </w:p>
        </w:tc>
        <w:tc>
          <w:tcPr>
            <w:tcW w:w="1666" w:type="pct"/>
            <w:shd w:val="clear" w:color="auto" w:fill="auto"/>
            <w:vAlign w:val="center"/>
          </w:tcPr>
          <w:p w:rsidR="00FA4D22" w:rsidRPr="00687707" w:rsidRDefault="00FA4D22" w:rsidP="00687707">
            <w:pPr>
              <w:spacing w:before="0" w:after="0"/>
              <w:jc w:val="center"/>
              <w:rPr>
                <w:rFonts w:eastAsia="Calibri"/>
                <w:color w:val="000000"/>
                <w:sz w:val="20"/>
                <w:szCs w:val="20"/>
              </w:rPr>
            </w:pPr>
            <w:r w:rsidRPr="00687707">
              <w:rPr>
                <w:rFonts w:eastAsia="Calibri"/>
                <w:color w:val="000000"/>
                <w:sz w:val="20"/>
                <w:szCs w:val="20"/>
              </w:rPr>
              <w:t>0</w:t>
            </w:r>
          </w:p>
        </w:tc>
        <w:tc>
          <w:tcPr>
            <w:tcW w:w="1666" w:type="pct"/>
            <w:shd w:val="clear" w:color="auto" w:fill="auto"/>
            <w:vAlign w:val="center"/>
          </w:tcPr>
          <w:p w:rsidR="00FA4D22" w:rsidRPr="00687707" w:rsidRDefault="00FA4D22" w:rsidP="00687707">
            <w:pPr>
              <w:spacing w:before="0" w:after="0"/>
              <w:jc w:val="center"/>
              <w:rPr>
                <w:rFonts w:eastAsia="Calibri"/>
                <w:color w:val="000000"/>
                <w:sz w:val="20"/>
                <w:szCs w:val="20"/>
              </w:rPr>
            </w:pPr>
            <w:r w:rsidRPr="00687707">
              <w:rPr>
                <w:rFonts w:eastAsia="Calibri"/>
                <w:color w:val="000000"/>
                <w:sz w:val="20"/>
                <w:szCs w:val="20"/>
              </w:rPr>
              <w:t>0</w:t>
            </w:r>
          </w:p>
        </w:tc>
      </w:tr>
      <w:tr w:rsidR="00FA4D22" w:rsidTr="00687707">
        <w:tc>
          <w:tcPr>
            <w:tcW w:w="1668" w:type="pct"/>
            <w:shd w:val="clear" w:color="auto" w:fill="auto"/>
            <w:vAlign w:val="center"/>
          </w:tcPr>
          <w:p w:rsidR="00FA4D22" w:rsidRPr="00687707" w:rsidRDefault="00FA4D22" w:rsidP="00687707">
            <w:pPr>
              <w:spacing w:before="0" w:after="0"/>
              <w:jc w:val="center"/>
              <w:rPr>
                <w:rFonts w:eastAsia="Calibri"/>
                <w:color w:val="000000"/>
                <w:sz w:val="20"/>
                <w:szCs w:val="20"/>
              </w:rPr>
            </w:pPr>
            <w:r w:rsidRPr="00687707">
              <w:rPr>
                <w:rFonts w:eastAsia="Calibri"/>
                <w:color w:val="000000"/>
                <w:sz w:val="20"/>
                <w:szCs w:val="20"/>
              </w:rPr>
              <w:t>0,1</w:t>
            </w:r>
          </w:p>
        </w:tc>
        <w:tc>
          <w:tcPr>
            <w:tcW w:w="1666" w:type="pct"/>
            <w:shd w:val="clear" w:color="auto" w:fill="auto"/>
            <w:vAlign w:val="center"/>
          </w:tcPr>
          <w:p w:rsidR="00FA4D22" w:rsidRPr="00687707" w:rsidRDefault="00FA4D22" w:rsidP="00687707">
            <w:pPr>
              <w:spacing w:before="0" w:after="0"/>
              <w:jc w:val="center"/>
              <w:rPr>
                <w:rFonts w:eastAsia="Calibri"/>
                <w:color w:val="000000"/>
                <w:sz w:val="20"/>
                <w:szCs w:val="20"/>
              </w:rPr>
            </w:pPr>
            <w:r w:rsidRPr="00687707">
              <w:rPr>
                <w:rFonts w:eastAsia="Calibri"/>
                <w:color w:val="000000"/>
                <w:sz w:val="20"/>
                <w:szCs w:val="20"/>
              </w:rPr>
              <w:t>0,30</w:t>
            </w:r>
          </w:p>
        </w:tc>
        <w:tc>
          <w:tcPr>
            <w:tcW w:w="1666" w:type="pct"/>
            <w:shd w:val="clear" w:color="auto" w:fill="auto"/>
            <w:vAlign w:val="center"/>
          </w:tcPr>
          <w:p w:rsidR="00FA4D22" w:rsidRPr="00687707" w:rsidRDefault="00FA4D22" w:rsidP="00687707">
            <w:pPr>
              <w:spacing w:before="0" w:after="0"/>
              <w:jc w:val="center"/>
              <w:rPr>
                <w:rFonts w:eastAsia="Calibri"/>
                <w:color w:val="000000"/>
                <w:sz w:val="20"/>
                <w:szCs w:val="20"/>
              </w:rPr>
            </w:pPr>
            <w:r w:rsidRPr="00687707">
              <w:rPr>
                <w:rFonts w:eastAsia="Calibri"/>
                <w:color w:val="000000"/>
                <w:sz w:val="20"/>
                <w:szCs w:val="20"/>
              </w:rPr>
              <w:t>0,37</w:t>
            </w:r>
          </w:p>
        </w:tc>
      </w:tr>
      <w:tr w:rsidR="00FA4D22" w:rsidTr="00687707">
        <w:tc>
          <w:tcPr>
            <w:tcW w:w="1668" w:type="pct"/>
            <w:shd w:val="clear" w:color="auto" w:fill="auto"/>
            <w:vAlign w:val="center"/>
          </w:tcPr>
          <w:p w:rsidR="00FA4D22" w:rsidRPr="00687707" w:rsidRDefault="00FA4D22" w:rsidP="00687707">
            <w:pPr>
              <w:spacing w:before="0" w:after="0"/>
              <w:jc w:val="center"/>
              <w:rPr>
                <w:rFonts w:eastAsia="Calibri"/>
                <w:color w:val="000000"/>
                <w:sz w:val="20"/>
                <w:szCs w:val="20"/>
              </w:rPr>
            </w:pPr>
            <w:r w:rsidRPr="00687707">
              <w:rPr>
                <w:rFonts w:eastAsia="Calibri"/>
                <w:color w:val="000000"/>
                <w:sz w:val="20"/>
                <w:szCs w:val="20"/>
              </w:rPr>
              <w:t>0,2</w:t>
            </w:r>
          </w:p>
        </w:tc>
        <w:tc>
          <w:tcPr>
            <w:tcW w:w="1666" w:type="pct"/>
            <w:shd w:val="clear" w:color="auto" w:fill="auto"/>
            <w:vAlign w:val="center"/>
          </w:tcPr>
          <w:p w:rsidR="00FA4D22" w:rsidRPr="00687707" w:rsidRDefault="00FA4D22" w:rsidP="00687707">
            <w:pPr>
              <w:spacing w:before="0" w:after="0"/>
              <w:jc w:val="center"/>
              <w:rPr>
                <w:rFonts w:eastAsia="Calibri"/>
                <w:color w:val="000000"/>
                <w:sz w:val="20"/>
                <w:szCs w:val="20"/>
              </w:rPr>
            </w:pPr>
            <w:r w:rsidRPr="00687707">
              <w:rPr>
                <w:rFonts w:eastAsia="Calibri"/>
                <w:color w:val="000000"/>
                <w:sz w:val="20"/>
                <w:szCs w:val="20"/>
              </w:rPr>
              <w:t>0,55</w:t>
            </w:r>
          </w:p>
        </w:tc>
        <w:tc>
          <w:tcPr>
            <w:tcW w:w="1666" w:type="pct"/>
            <w:shd w:val="clear" w:color="auto" w:fill="auto"/>
            <w:vAlign w:val="center"/>
          </w:tcPr>
          <w:p w:rsidR="00FA4D22" w:rsidRPr="00687707" w:rsidRDefault="00FA4D22" w:rsidP="00687707">
            <w:pPr>
              <w:spacing w:before="0" w:after="0"/>
              <w:jc w:val="center"/>
              <w:rPr>
                <w:rFonts w:eastAsia="Calibri"/>
                <w:color w:val="000000"/>
                <w:sz w:val="20"/>
                <w:szCs w:val="20"/>
              </w:rPr>
            </w:pPr>
            <w:r w:rsidRPr="00687707">
              <w:rPr>
                <w:rFonts w:eastAsia="Calibri"/>
                <w:color w:val="000000"/>
                <w:sz w:val="20"/>
                <w:szCs w:val="20"/>
              </w:rPr>
              <w:t>0,7</w:t>
            </w:r>
          </w:p>
        </w:tc>
      </w:tr>
      <w:tr w:rsidR="00FA4D22" w:rsidTr="00687707">
        <w:tc>
          <w:tcPr>
            <w:tcW w:w="1668" w:type="pct"/>
            <w:shd w:val="clear" w:color="auto" w:fill="auto"/>
            <w:vAlign w:val="center"/>
          </w:tcPr>
          <w:p w:rsidR="00FA4D22" w:rsidRPr="00687707" w:rsidRDefault="00FA4D22" w:rsidP="00687707">
            <w:pPr>
              <w:spacing w:before="0" w:after="0"/>
              <w:jc w:val="center"/>
              <w:rPr>
                <w:rFonts w:eastAsia="Calibri"/>
                <w:color w:val="000000"/>
                <w:sz w:val="20"/>
                <w:szCs w:val="20"/>
              </w:rPr>
            </w:pPr>
            <w:r w:rsidRPr="00687707">
              <w:rPr>
                <w:rFonts w:eastAsia="Calibri"/>
                <w:color w:val="000000"/>
                <w:sz w:val="20"/>
                <w:szCs w:val="20"/>
              </w:rPr>
              <w:t>0,3</w:t>
            </w:r>
          </w:p>
        </w:tc>
        <w:tc>
          <w:tcPr>
            <w:tcW w:w="1666" w:type="pct"/>
            <w:shd w:val="clear" w:color="auto" w:fill="auto"/>
            <w:vAlign w:val="center"/>
          </w:tcPr>
          <w:p w:rsidR="00FA4D22" w:rsidRPr="00687707" w:rsidRDefault="00FA4D22" w:rsidP="00687707">
            <w:pPr>
              <w:spacing w:before="0" w:after="0"/>
              <w:jc w:val="center"/>
              <w:rPr>
                <w:rFonts w:eastAsia="Calibri"/>
                <w:color w:val="000000"/>
                <w:sz w:val="20"/>
                <w:szCs w:val="20"/>
              </w:rPr>
            </w:pPr>
            <w:r w:rsidRPr="00687707">
              <w:rPr>
                <w:rFonts w:eastAsia="Calibri"/>
                <w:color w:val="000000"/>
                <w:sz w:val="20"/>
                <w:szCs w:val="20"/>
              </w:rPr>
              <w:t>0,75</w:t>
            </w:r>
          </w:p>
        </w:tc>
        <w:tc>
          <w:tcPr>
            <w:tcW w:w="1666" w:type="pct"/>
            <w:shd w:val="clear" w:color="auto" w:fill="auto"/>
            <w:vAlign w:val="center"/>
          </w:tcPr>
          <w:p w:rsidR="00FA4D22" w:rsidRPr="00687707" w:rsidRDefault="00FA4D22" w:rsidP="00687707">
            <w:pPr>
              <w:spacing w:before="0" w:after="0"/>
              <w:jc w:val="center"/>
              <w:rPr>
                <w:rFonts w:eastAsia="Calibri"/>
                <w:color w:val="000000"/>
                <w:sz w:val="20"/>
                <w:szCs w:val="20"/>
              </w:rPr>
            </w:pPr>
            <w:r w:rsidRPr="00687707">
              <w:rPr>
                <w:rFonts w:eastAsia="Calibri"/>
                <w:color w:val="000000"/>
                <w:sz w:val="20"/>
                <w:szCs w:val="20"/>
              </w:rPr>
              <w:t>0,85</w:t>
            </w:r>
          </w:p>
        </w:tc>
      </w:tr>
      <w:tr w:rsidR="00FA4D22" w:rsidTr="00687707">
        <w:tc>
          <w:tcPr>
            <w:tcW w:w="1668" w:type="pct"/>
            <w:shd w:val="clear" w:color="auto" w:fill="auto"/>
            <w:vAlign w:val="center"/>
          </w:tcPr>
          <w:p w:rsidR="00FA4D22" w:rsidRPr="00687707" w:rsidRDefault="00FA4D22" w:rsidP="00687707">
            <w:pPr>
              <w:spacing w:before="0" w:after="0"/>
              <w:jc w:val="center"/>
              <w:rPr>
                <w:rFonts w:eastAsia="Calibri"/>
                <w:color w:val="000000"/>
                <w:sz w:val="20"/>
                <w:szCs w:val="20"/>
              </w:rPr>
            </w:pPr>
            <w:r w:rsidRPr="00687707">
              <w:rPr>
                <w:rFonts w:eastAsia="Calibri"/>
                <w:color w:val="000000"/>
                <w:sz w:val="20"/>
                <w:szCs w:val="20"/>
              </w:rPr>
              <w:t>0,4</w:t>
            </w:r>
          </w:p>
        </w:tc>
        <w:tc>
          <w:tcPr>
            <w:tcW w:w="1666" w:type="pct"/>
            <w:shd w:val="clear" w:color="auto" w:fill="auto"/>
            <w:vAlign w:val="center"/>
          </w:tcPr>
          <w:p w:rsidR="00FA4D22" w:rsidRPr="00687707" w:rsidRDefault="00FA4D22" w:rsidP="00687707">
            <w:pPr>
              <w:spacing w:before="0" w:after="0"/>
              <w:jc w:val="center"/>
              <w:rPr>
                <w:rFonts w:eastAsia="Calibri"/>
                <w:color w:val="000000"/>
                <w:sz w:val="20"/>
                <w:szCs w:val="20"/>
              </w:rPr>
            </w:pPr>
            <w:r w:rsidRPr="00687707">
              <w:rPr>
                <w:rFonts w:eastAsia="Calibri"/>
                <w:color w:val="000000"/>
                <w:sz w:val="20"/>
                <w:szCs w:val="20"/>
              </w:rPr>
              <w:t>0,85</w:t>
            </w:r>
          </w:p>
        </w:tc>
        <w:tc>
          <w:tcPr>
            <w:tcW w:w="1666" w:type="pct"/>
            <w:shd w:val="clear" w:color="auto" w:fill="auto"/>
            <w:vAlign w:val="center"/>
          </w:tcPr>
          <w:p w:rsidR="00FA4D22" w:rsidRPr="00687707" w:rsidRDefault="00FA4D22" w:rsidP="00687707">
            <w:pPr>
              <w:spacing w:before="0" w:after="0"/>
              <w:jc w:val="center"/>
              <w:rPr>
                <w:rFonts w:eastAsia="Calibri"/>
                <w:color w:val="000000"/>
                <w:sz w:val="20"/>
                <w:szCs w:val="20"/>
              </w:rPr>
            </w:pPr>
            <w:r w:rsidRPr="00687707">
              <w:rPr>
                <w:rFonts w:eastAsia="Calibri"/>
                <w:color w:val="000000"/>
                <w:sz w:val="20"/>
                <w:szCs w:val="20"/>
              </w:rPr>
              <w:t>0,94</w:t>
            </w:r>
          </w:p>
        </w:tc>
      </w:tr>
      <w:tr w:rsidR="00FA4D22" w:rsidTr="00687707">
        <w:tc>
          <w:tcPr>
            <w:tcW w:w="1668" w:type="pct"/>
            <w:shd w:val="clear" w:color="auto" w:fill="auto"/>
            <w:vAlign w:val="center"/>
          </w:tcPr>
          <w:p w:rsidR="00FA4D22" w:rsidRPr="00687707" w:rsidRDefault="00FA4D22" w:rsidP="00687707">
            <w:pPr>
              <w:spacing w:before="0" w:after="0"/>
              <w:jc w:val="center"/>
              <w:rPr>
                <w:rFonts w:eastAsia="Calibri"/>
                <w:color w:val="000000"/>
                <w:sz w:val="20"/>
                <w:szCs w:val="20"/>
              </w:rPr>
            </w:pPr>
            <w:r w:rsidRPr="00687707">
              <w:rPr>
                <w:rFonts w:eastAsia="Calibri"/>
                <w:color w:val="000000"/>
                <w:sz w:val="20"/>
                <w:szCs w:val="20"/>
              </w:rPr>
              <w:t>0,5</w:t>
            </w:r>
          </w:p>
        </w:tc>
        <w:tc>
          <w:tcPr>
            <w:tcW w:w="1666" w:type="pct"/>
            <w:shd w:val="clear" w:color="auto" w:fill="auto"/>
            <w:vAlign w:val="center"/>
          </w:tcPr>
          <w:p w:rsidR="00FA4D22" w:rsidRPr="00687707" w:rsidRDefault="00FA4D22" w:rsidP="00687707">
            <w:pPr>
              <w:spacing w:before="0" w:after="0"/>
              <w:jc w:val="center"/>
              <w:rPr>
                <w:rFonts w:eastAsia="Calibri"/>
                <w:color w:val="000000"/>
                <w:sz w:val="20"/>
                <w:szCs w:val="20"/>
              </w:rPr>
            </w:pPr>
            <w:r w:rsidRPr="00687707">
              <w:rPr>
                <w:rFonts w:eastAsia="Calibri"/>
                <w:color w:val="000000"/>
                <w:sz w:val="20"/>
                <w:szCs w:val="20"/>
              </w:rPr>
              <w:t>0,95</w:t>
            </w:r>
          </w:p>
        </w:tc>
        <w:tc>
          <w:tcPr>
            <w:tcW w:w="1666" w:type="pct"/>
            <w:shd w:val="clear" w:color="auto" w:fill="auto"/>
            <w:vAlign w:val="center"/>
          </w:tcPr>
          <w:p w:rsidR="00FA4D22" w:rsidRPr="00687707" w:rsidRDefault="00FA4D22" w:rsidP="00687707">
            <w:pPr>
              <w:spacing w:before="0" w:after="0"/>
              <w:jc w:val="center"/>
              <w:rPr>
                <w:rFonts w:eastAsia="Calibri"/>
                <w:color w:val="000000"/>
                <w:sz w:val="20"/>
                <w:szCs w:val="20"/>
              </w:rPr>
            </w:pPr>
            <w:r w:rsidRPr="00687707">
              <w:rPr>
                <w:rFonts w:eastAsia="Calibri"/>
                <w:color w:val="000000"/>
                <w:sz w:val="20"/>
                <w:szCs w:val="20"/>
              </w:rPr>
              <w:t>0,98</w:t>
            </w:r>
          </w:p>
        </w:tc>
      </w:tr>
      <w:tr w:rsidR="00FA4D22" w:rsidTr="00687707">
        <w:tc>
          <w:tcPr>
            <w:tcW w:w="1668" w:type="pct"/>
            <w:shd w:val="clear" w:color="auto" w:fill="auto"/>
            <w:vAlign w:val="center"/>
          </w:tcPr>
          <w:p w:rsidR="00FA4D22" w:rsidRPr="00687707" w:rsidRDefault="00FA4D22" w:rsidP="00687707">
            <w:pPr>
              <w:spacing w:before="0" w:after="0"/>
              <w:jc w:val="center"/>
              <w:rPr>
                <w:rFonts w:eastAsia="Calibri"/>
                <w:color w:val="000000"/>
                <w:sz w:val="20"/>
                <w:szCs w:val="20"/>
              </w:rPr>
            </w:pPr>
            <w:r w:rsidRPr="00687707">
              <w:rPr>
                <w:rFonts w:eastAsia="Calibri"/>
                <w:color w:val="000000"/>
                <w:sz w:val="20"/>
                <w:szCs w:val="20"/>
              </w:rPr>
              <w:t>0,6</w:t>
            </w:r>
          </w:p>
        </w:tc>
        <w:tc>
          <w:tcPr>
            <w:tcW w:w="1666" w:type="pct"/>
            <w:shd w:val="clear" w:color="auto" w:fill="auto"/>
            <w:vAlign w:val="center"/>
          </w:tcPr>
          <w:p w:rsidR="00FA4D22" w:rsidRPr="00687707" w:rsidRDefault="00FA4D22" w:rsidP="00687707">
            <w:pPr>
              <w:spacing w:before="0" w:after="0"/>
              <w:jc w:val="center"/>
              <w:rPr>
                <w:rFonts w:eastAsia="Calibri"/>
                <w:color w:val="000000"/>
                <w:sz w:val="20"/>
                <w:szCs w:val="20"/>
              </w:rPr>
            </w:pPr>
            <w:r w:rsidRPr="00687707">
              <w:rPr>
                <w:rFonts w:eastAsia="Calibri"/>
                <w:color w:val="000000"/>
                <w:sz w:val="20"/>
                <w:szCs w:val="20"/>
              </w:rPr>
              <w:t>0,98</w:t>
            </w:r>
          </w:p>
        </w:tc>
        <w:tc>
          <w:tcPr>
            <w:tcW w:w="1666" w:type="pct"/>
            <w:shd w:val="clear" w:color="auto" w:fill="auto"/>
            <w:vAlign w:val="center"/>
          </w:tcPr>
          <w:p w:rsidR="00FA4D22" w:rsidRPr="00687707" w:rsidRDefault="00FA4D22" w:rsidP="00687707">
            <w:pPr>
              <w:spacing w:before="0" w:after="0"/>
              <w:jc w:val="center"/>
              <w:rPr>
                <w:rFonts w:eastAsia="Calibri"/>
                <w:color w:val="000000"/>
                <w:sz w:val="20"/>
                <w:szCs w:val="20"/>
              </w:rPr>
            </w:pPr>
            <w:r w:rsidRPr="00687707">
              <w:rPr>
                <w:rFonts w:eastAsia="Calibri"/>
                <w:color w:val="000000"/>
                <w:sz w:val="20"/>
                <w:szCs w:val="20"/>
              </w:rPr>
              <w:t>1,00</w:t>
            </w:r>
          </w:p>
        </w:tc>
      </w:tr>
      <w:tr w:rsidR="00FA4D22" w:rsidTr="00687707">
        <w:tc>
          <w:tcPr>
            <w:tcW w:w="1668" w:type="pct"/>
            <w:shd w:val="clear" w:color="auto" w:fill="auto"/>
            <w:vAlign w:val="center"/>
          </w:tcPr>
          <w:p w:rsidR="00FA4D22" w:rsidRPr="00687707" w:rsidRDefault="00FA4D22" w:rsidP="00687707">
            <w:pPr>
              <w:spacing w:before="0" w:after="0"/>
              <w:jc w:val="center"/>
              <w:rPr>
                <w:rFonts w:eastAsia="Calibri"/>
                <w:color w:val="000000"/>
                <w:sz w:val="20"/>
                <w:szCs w:val="20"/>
              </w:rPr>
            </w:pPr>
            <w:r w:rsidRPr="00687707">
              <w:rPr>
                <w:rFonts w:eastAsia="Calibri"/>
                <w:color w:val="000000"/>
                <w:sz w:val="20"/>
                <w:szCs w:val="20"/>
              </w:rPr>
              <w:t>&gt;0,7</w:t>
            </w:r>
          </w:p>
        </w:tc>
        <w:tc>
          <w:tcPr>
            <w:tcW w:w="1666" w:type="pct"/>
            <w:shd w:val="clear" w:color="auto" w:fill="auto"/>
            <w:vAlign w:val="center"/>
          </w:tcPr>
          <w:p w:rsidR="00FA4D22" w:rsidRPr="00687707" w:rsidRDefault="00FA4D22" w:rsidP="00687707">
            <w:pPr>
              <w:spacing w:before="0" w:after="0"/>
              <w:jc w:val="center"/>
              <w:rPr>
                <w:rFonts w:eastAsia="Calibri"/>
                <w:color w:val="000000"/>
                <w:sz w:val="20"/>
                <w:szCs w:val="20"/>
              </w:rPr>
            </w:pPr>
            <w:r w:rsidRPr="00687707">
              <w:rPr>
                <w:rFonts w:eastAsia="Calibri"/>
                <w:color w:val="000000"/>
                <w:sz w:val="20"/>
                <w:szCs w:val="20"/>
              </w:rPr>
              <w:t>1,00</w:t>
            </w:r>
          </w:p>
        </w:tc>
        <w:tc>
          <w:tcPr>
            <w:tcW w:w="1666" w:type="pct"/>
            <w:shd w:val="clear" w:color="auto" w:fill="auto"/>
            <w:vAlign w:val="center"/>
          </w:tcPr>
          <w:p w:rsidR="00FA4D22" w:rsidRPr="00687707" w:rsidRDefault="00FA4D22" w:rsidP="00687707">
            <w:pPr>
              <w:spacing w:before="0" w:after="0"/>
              <w:jc w:val="center"/>
              <w:rPr>
                <w:rFonts w:eastAsia="Calibri"/>
                <w:color w:val="000000"/>
                <w:sz w:val="20"/>
                <w:szCs w:val="20"/>
              </w:rPr>
            </w:pPr>
            <w:r w:rsidRPr="00687707">
              <w:rPr>
                <w:rFonts w:eastAsia="Calibri"/>
                <w:color w:val="000000"/>
                <w:sz w:val="20"/>
                <w:szCs w:val="20"/>
              </w:rPr>
              <w:t>1,00</w:t>
            </w:r>
          </w:p>
        </w:tc>
      </w:tr>
    </w:tbl>
    <w:p w:rsidR="00FA4D22" w:rsidRPr="00EE7197" w:rsidRDefault="007319ED" w:rsidP="007E0C98">
      <w:pPr>
        <w:rPr>
          <w:sz w:val="14"/>
          <w:szCs w:val="14"/>
        </w:rPr>
      </w:pPr>
      <w:r>
        <w:t>For</w:t>
      </w:r>
      <w:r w:rsidR="00FA4D22">
        <w:t xml:space="preserve"> preferential cogeneration space heater</w:t>
      </w:r>
      <w:r>
        <w:t>s</w:t>
      </w:r>
      <w:r w:rsidR="00FA4D22">
        <w:t>, heat pump space heater</w:t>
      </w:r>
      <w:r>
        <w:t>s</w:t>
      </w:r>
      <w:r w:rsidR="00FA4D22">
        <w:t>, heat pump combination heater</w:t>
      </w:r>
      <w:r>
        <w:t>s</w:t>
      </w:r>
      <w:r w:rsidR="00FA4D22">
        <w:t xml:space="preserve"> or low-temperature heat-pump</w:t>
      </w:r>
      <w:r>
        <w:t>s the following table shall be used:</w:t>
      </w:r>
    </w:p>
    <w:tbl>
      <w:tblPr>
        <w:tblW w:w="5000" w:type="pct"/>
        <w:tblBorders>
          <w:insideH w:val="single" w:sz="4" w:space="0" w:color="auto"/>
        </w:tblBorders>
        <w:tblLook w:val="04A0" w:firstRow="1" w:lastRow="0" w:firstColumn="1" w:lastColumn="0" w:noHBand="0" w:noVBand="1"/>
      </w:tblPr>
      <w:tblGrid>
        <w:gridCol w:w="2842"/>
        <w:gridCol w:w="2840"/>
        <w:gridCol w:w="2840"/>
      </w:tblGrid>
      <w:tr w:rsidR="00FA4D22" w:rsidRPr="00110695" w:rsidTr="00687707">
        <w:tc>
          <w:tcPr>
            <w:tcW w:w="1668" w:type="pct"/>
            <w:shd w:val="clear" w:color="auto" w:fill="auto"/>
            <w:vAlign w:val="center"/>
          </w:tcPr>
          <w:p w:rsidR="00FA4D22" w:rsidRPr="00687707" w:rsidRDefault="00FA4D22" w:rsidP="00687707">
            <w:pPr>
              <w:spacing w:before="0" w:after="0"/>
              <w:jc w:val="center"/>
              <w:rPr>
                <w:rFonts w:eastAsia="Calibri"/>
                <w:color w:val="000000"/>
                <w:sz w:val="20"/>
                <w:szCs w:val="20"/>
              </w:rPr>
            </w:pPr>
            <w:r w:rsidRPr="00687707">
              <w:rPr>
                <w:rFonts w:eastAsia="Calibri"/>
                <w:color w:val="000000"/>
                <w:sz w:val="20"/>
                <w:szCs w:val="20"/>
              </w:rPr>
              <w:t>P</w:t>
            </w:r>
            <w:r w:rsidRPr="00687707">
              <w:rPr>
                <w:rFonts w:eastAsia="Calibri"/>
                <w:color w:val="000000"/>
                <w:sz w:val="20"/>
                <w:szCs w:val="20"/>
                <w:vertAlign w:val="subscript"/>
              </w:rPr>
              <w:t>rated</w:t>
            </w:r>
            <w:r w:rsidRPr="00687707">
              <w:rPr>
                <w:rFonts w:eastAsia="Calibri"/>
                <w:color w:val="000000"/>
                <w:sz w:val="20"/>
                <w:szCs w:val="20"/>
              </w:rPr>
              <w:t xml:space="preserve"> / (P</w:t>
            </w:r>
            <w:r w:rsidRPr="00687707">
              <w:rPr>
                <w:rFonts w:eastAsia="Calibri"/>
                <w:color w:val="000000"/>
                <w:sz w:val="20"/>
                <w:szCs w:val="20"/>
                <w:vertAlign w:val="subscript"/>
              </w:rPr>
              <w:t>rated</w:t>
            </w:r>
            <w:r w:rsidRPr="00687707">
              <w:rPr>
                <w:rFonts w:eastAsia="Calibri"/>
                <w:color w:val="000000"/>
                <w:sz w:val="20"/>
                <w:szCs w:val="20"/>
              </w:rPr>
              <w:t xml:space="preserve"> + </w:t>
            </w:r>
            <w:proofErr w:type="spellStart"/>
            <w:r w:rsidRPr="00687707">
              <w:rPr>
                <w:rFonts w:eastAsia="Calibri"/>
                <w:color w:val="000000"/>
                <w:sz w:val="20"/>
                <w:szCs w:val="20"/>
              </w:rPr>
              <w:t>P</w:t>
            </w:r>
            <w:r w:rsidRPr="00687707">
              <w:rPr>
                <w:rFonts w:eastAsia="Calibri"/>
                <w:color w:val="000000"/>
                <w:sz w:val="20"/>
                <w:szCs w:val="20"/>
                <w:vertAlign w:val="subscript"/>
              </w:rPr>
              <w:t>sup</w:t>
            </w:r>
            <w:proofErr w:type="spellEnd"/>
            <w:r w:rsidRPr="00687707">
              <w:rPr>
                <w:rFonts w:eastAsia="Calibri"/>
                <w:color w:val="000000"/>
                <w:sz w:val="20"/>
                <w:szCs w:val="20"/>
              </w:rPr>
              <w:t>)</w:t>
            </w:r>
          </w:p>
        </w:tc>
        <w:tc>
          <w:tcPr>
            <w:tcW w:w="1666" w:type="pct"/>
            <w:shd w:val="clear" w:color="auto" w:fill="auto"/>
            <w:vAlign w:val="center"/>
          </w:tcPr>
          <w:p w:rsidR="00FA4D22" w:rsidRPr="00687707" w:rsidRDefault="007319ED" w:rsidP="00687707">
            <w:pPr>
              <w:spacing w:before="0" w:after="0"/>
              <w:jc w:val="center"/>
              <w:rPr>
                <w:rFonts w:eastAsia="Calibri"/>
                <w:color w:val="000000"/>
                <w:sz w:val="20"/>
                <w:szCs w:val="20"/>
              </w:rPr>
            </w:pPr>
            <w:r w:rsidRPr="00687707">
              <w:rPr>
                <w:rFonts w:eastAsia="Calibri"/>
                <w:color w:val="000000"/>
                <w:sz w:val="20"/>
                <w:szCs w:val="20"/>
              </w:rPr>
              <w:t>W</w:t>
            </w:r>
            <w:r w:rsidR="00FA4D22" w:rsidRPr="00687707">
              <w:rPr>
                <w:rFonts w:eastAsia="Calibri"/>
                <w:color w:val="000000"/>
                <w:sz w:val="20"/>
                <w:szCs w:val="20"/>
              </w:rPr>
              <w:t>ith storage tank</w:t>
            </w:r>
          </w:p>
        </w:tc>
        <w:tc>
          <w:tcPr>
            <w:tcW w:w="1666" w:type="pct"/>
            <w:shd w:val="clear" w:color="auto" w:fill="auto"/>
            <w:vAlign w:val="center"/>
          </w:tcPr>
          <w:p w:rsidR="00FA4D22" w:rsidRPr="00687707" w:rsidRDefault="007319ED" w:rsidP="00687707">
            <w:pPr>
              <w:spacing w:before="0" w:after="0"/>
              <w:jc w:val="center"/>
              <w:rPr>
                <w:rFonts w:eastAsia="Calibri"/>
                <w:color w:val="000000"/>
                <w:sz w:val="20"/>
                <w:szCs w:val="20"/>
              </w:rPr>
            </w:pPr>
            <w:r w:rsidRPr="00687707">
              <w:rPr>
                <w:rFonts w:eastAsia="Calibri"/>
                <w:color w:val="000000"/>
                <w:sz w:val="20"/>
                <w:szCs w:val="20"/>
              </w:rPr>
              <w:t>W</w:t>
            </w:r>
            <w:r w:rsidR="00FA4D22" w:rsidRPr="00687707">
              <w:rPr>
                <w:rFonts w:eastAsia="Calibri"/>
                <w:color w:val="000000"/>
                <w:sz w:val="20"/>
                <w:szCs w:val="20"/>
              </w:rPr>
              <w:t>ithout storage tank</w:t>
            </w:r>
          </w:p>
        </w:tc>
      </w:tr>
      <w:tr w:rsidR="00FA4D22" w:rsidRPr="00110695" w:rsidTr="00687707">
        <w:tc>
          <w:tcPr>
            <w:tcW w:w="1668" w:type="pct"/>
            <w:shd w:val="clear" w:color="auto" w:fill="auto"/>
            <w:vAlign w:val="center"/>
          </w:tcPr>
          <w:p w:rsidR="00FA4D22" w:rsidRPr="00687707" w:rsidRDefault="00FA4D22" w:rsidP="00687707">
            <w:pPr>
              <w:spacing w:before="0" w:after="0"/>
              <w:jc w:val="center"/>
              <w:rPr>
                <w:rFonts w:eastAsia="Calibri"/>
                <w:color w:val="000000"/>
                <w:sz w:val="20"/>
                <w:szCs w:val="20"/>
              </w:rPr>
            </w:pPr>
            <w:r w:rsidRPr="00687707">
              <w:rPr>
                <w:rFonts w:eastAsia="Calibri"/>
                <w:color w:val="000000"/>
                <w:sz w:val="20"/>
                <w:szCs w:val="20"/>
              </w:rPr>
              <w:t>0</w:t>
            </w:r>
          </w:p>
        </w:tc>
        <w:tc>
          <w:tcPr>
            <w:tcW w:w="1666" w:type="pct"/>
            <w:shd w:val="clear" w:color="auto" w:fill="auto"/>
            <w:vAlign w:val="center"/>
          </w:tcPr>
          <w:p w:rsidR="00FA4D22" w:rsidRPr="00687707" w:rsidRDefault="00FA4D22" w:rsidP="00687707">
            <w:pPr>
              <w:spacing w:before="0" w:after="0"/>
              <w:jc w:val="center"/>
              <w:rPr>
                <w:rFonts w:eastAsia="Calibri"/>
                <w:color w:val="000000"/>
                <w:sz w:val="20"/>
                <w:szCs w:val="20"/>
              </w:rPr>
            </w:pPr>
            <w:r w:rsidRPr="00687707">
              <w:rPr>
                <w:rFonts w:eastAsia="Calibri"/>
                <w:color w:val="000000"/>
                <w:sz w:val="20"/>
                <w:szCs w:val="20"/>
              </w:rPr>
              <w:t>1,00</w:t>
            </w:r>
          </w:p>
        </w:tc>
        <w:tc>
          <w:tcPr>
            <w:tcW w:w="1666" w:type="pct"/>
            <w:shd w:val="clear" w:color="auto" w:fill="auto"/>
            <w:vAlign w:val="center"/>
          </w:tcPr>
          <w:p w:rsidR="00FA4D22" w:rsidRPr="00687707" w:rsidRDefault="00FA4D22" w:rsidP="00687707">
            <w:pPr>
              <w:spacing w:before="0" w:after="0"/>
              <w:jc w:val="center"/>
              <w:rPr>
                <w:rFonts w:eastAsia="Calibri"/>
                <w:color w:val="000000"/>
                <w:sz w:val="20"/>
                <w:szCs w:val="20"/>
              </w:rPr>
            </w:pPr>
            <w:r w:rsidRPr="00687707">
              <w:rPr>
                <w:rFonts w:eastAsia="Calibri"/>
                <w:color w:val="000000"/>
                <w:sz w:val="20"/>
                <w:szCs w:val="20"/>
              </w:rPr>
              <w:t>1,00</w:t>
            </w:r>
          </w:p>
        </w:tc>
      </w:tr>
      <w:tr w:rsidR="00FA4D22" w:rsidRPr="00110695" w:rsidTr="00687707">
        <w:tc>
          <w:tcPr>
            <w:tcW w:w="1668" w:type="pct"/>
            <w:shd w:val="clear" w:color="auto" w:fill="auto"/>
            <w:vAlign w:val="center"/>
          </w:tcPr>
          <w:p w:rsidR="00FA4D22" w:rsidRPr="00687707" w:rsidRDefault="00FA4D22" w:rsidP="00687707">
            <w:pPr>
              <w:spacing w:before="0" w:after="0"/>
              <w:jc w:val="center"/>
              <w:rPr>
                <w:rFonts w:eastAsia="Calibri"/>
                <w:color w:val="000000"/>
                <w:sz w:val="20"/>
                <w:szCs w:val="20"/>
              </w:rPr>
            </w:pPr>
            <w:r w:rsidRPr="00687707">
              <w:rPr>
                <w:rFonts w:eastAsia="Calibri"/>
                <w:color w:val="000000"/>
                <w:sz w:val="20"/>
                <w:szCs w:val="20"/>
              </w:rPr>
              <w:t>0,1</w:t>
            </w:r>
          </w:p>
        </w:tc>
        <w:tc>
          <w:tcPr>
            <w:tcW w:w="1666" w:type="pct"/>
            <w:shd w:val="clear" w:color="auto" w:fill="auto"/>
            <w:vAlign w:val="center"/>
          </w:tcPr>
          <w:p w:rsidR="00FA4D22" w:rsidRPr="00687707" w:rsidRDefault="00FA4D22" w:rsidP="00687707">
            <w:pPr>
              <w:spacing w:before="0" w:after="0"/>
              <w:jc w:val="center"/>
              <w:rPr>
                <w:rFonts w:eastAsia="Calibri"/>
                <w:color w:val="000000"/>
                <w:sz w:val="20"/>
                <w:szCs w:val="20"/>
              </w:rPr>
            </w:pPr>
            <w:r w:rsidRPr="00687707">
              <w:rPr>
                <w:rFonts w:eastAsia="Calibri"/>
                <w:color w:val="000000"/>
                <w:sz w:val="20"/>
                <w:szCs w:val="20"/>
              </w:rPr>
              <w:t>0,70</w:t>
            </w:r>
          </w:p>
        </w:tc>
        <w:tc>
          <w:tcPr>
            <w:tcW w:w="1666" w:type="pct"/>
            <w:shd w:val="clear" w:color="auto" w:fill="auto"/>
            <w:vAlign w:val="center"/>
          </w:tcPr>
          <w:p w:rsidR="00FA4D22" w:rsidRPr="00687707" w:rsidRDefault="00FA4D22" w:rsidP="00687707">
            <w:pPr>
              <w:spacing w:before="0" w:after="0"/>
              <w:jc w:val="center"/>
              <w:rPr>
                <w:rFonts w:eastAsia="Calibri"/>
                <w:color w:val="000000"/>
                <w:sz w:val="20"/>
                <w:szCs w:val="20"/>
              </w:rPr>
            </w:pPr>
            <w:r w:rsidRPr="00687707">
              <w:rPr>
                <w:rFonts w:eastAsia="Calibri"/>
                <w:color w:val="000000"/>
                <w:sz w:val="20"/>
                <w:szCs w:val="20"/>
              </w:rPr>
              <w:t>0,63</w:t>
            </w:r>
          </w:p>
        </w:tc>
      </w:tr>
      <w:tr w:rsidR="00FA4D22" w:rsidRPr="00110695" w:rsidTr="00687707">
        <w:tc>
          <w:tcPr>
            <w:tcW w:w="1668" w:type="pct"/>
            <w:shd w:val="clear" w:color="auto" w:fill="auto"/>
            <w:vAlign w:val="center"/>
          </w:tcPr>
          <w:p w:rsidR="00FA4D22" w:rsidRPr="00687707" w:rsidRDefault="00FA4D22" w:rsidP="00687707">
            <w:pPr>
              <w:spacing w:before="0" w:after="0"/>
              <w:jc w:val="center"/>
              <w:rPr>
                <w:rFonts w:eastAsia="Calibri"/>
                <w:color w:val="000000"/>
                <w:sz w:val="20"/>
                <w:szCs w:val="20"/>
              </w:rPr>
            </w:pPr>
            <w:r w:rsidRPr="00687707">
              <w:rPr>
                <w:rFonts w:eastAsia="Calibri"/>
                <w:color w:val="000000"/>
                <w:sz w:val="20"/>
                <w:szCs w:val="20"/>
              </w:rPr>
              <w:t>0,2</w:t>
            </w:r>
          </w:p>
        </w:tc>
        <w:tc>
          <w:tcPr>
            <w:tcW w:w="1666" w:type="pct"/>
            <w:shd w:val="clear" w:color="auto" w:fill="auto"/>
            <w:vAlign w:val="center"/>
          </w:tcPr>
          <w:p w:rsidR="00FA4D22" w:rsidRPr="00687707" w:rsidRDefault="00FA4D22" w:rsidP="00687707">
            <w:pPr>
              <w:spacing w:before="0" w:after="0"/>
              <w:jc w:val="center"/>
              <w:rPr>
                <w:rFonts w:eastAsia="Calibri"/>
                <w:color w:val="000000"/>
                <w:sz w:val="20"/>
                <w:szCs w:val="20"/>
              </w:rPr>
            </w:pPr>
            <w:r w:rsidRPr="00687707">
              <w:rPr>
                <w:rFonts w:eastAsia="Calibri"/>
                <w:color w:val="000000"/>
                <w:sz w:val="20"/>
                <w:szCs w:val="20"/>
              </w:rPr>
              <w:t>0,45</w:t>
            </w:r>
          </w:p>
        </w:tc>
        <w:tc>
          <w:tcPr>
            <w:tcW w:w="1666" w:type="pct"/>
            <w:shd w:val="clear" w:color="auto" w:fill="auto"/>
            <w:vAlign w:val="center"/>
          </w:tcPr>
          <w:p w:rsidR="00FA4D22" w:rsidRPr="00687707" w:rsidRDefault="00FA4D22" w:rsidP="00687707">
            <w:pPr>
              <w:spacing w:before="0" w:after="0"/>
              <w:jc w:val="center"/>
              <w:rPr>
                <w:rFonts w:eastAsia="Calibri"/>
                <w:color w:val="000000"/>
                <w:sz w:val="20"/>
                <w:szCs w:val="20"/>
              </w:rPr>
            </w:pPr>
            <w:r w:rsidRPr="00687707">
              <w:rPr>
                <w:rFonts w:eastAsia="Calibri"/>
                <w:color w:val="000000"/>
                <w:sz w:val="20"/>
                <w:szCs w:val="20"/>
              </w:rPr>
              <w:t>0,30</w:t>
            </w:r>
          </w:p>
        </w:tc>
      </w:tr>
      <w:tr w:rsidR="00FA4D22" w:rsidRPr="00110695" w:rsidTr="00687707">
        <w:tc>
          <w:tcPr>
            <w:tcW w:w="1668" w:type="pct"/>
            <w:shd w:val="clear" w:color="auto" w:fill="auto"/>
            <w:vAlign w:val="center"/>
          </w:tcPr>
          <w:p w:rsidR="00FA4D22" w:rsidRPr="00687707" w:rsidRDefault="00FA4D22" w:rsidP="00687707">
            <w:pPr>
              <w:spacing w:before="0" w:after="0"/>
              <w:jc w:val="center"/>
              <w:rPr>
                <w:rFonts w:eastAsia="Calibri"/>
                <w:color w:val="000000"/>
                <w:sz w:val="20"/>
                <w:szCs w:val="20"/>
              </w:rPr>
            </w:pPr>
            <w:r w:rsidRPr="00687707">
              <w:rPr>
                <w:rFonts w:eastAsia="Calibri"/>
                <w:color w:val="000000"/>
                <w:sz w:val="20"/>
                <w:szCs w:val="20"/>
              </w:rPr>
              <w:t>0,3</w:t>
            </w:r>
          </w:p>
        </w:tc>
        <w:tc>
          <w:tcPr>
            <w:tcW w:w="1666" w:type="pct"/>
            <w:shd w:val="clear" w:color="auto" w:fill="auto"/>
            <w:vAlign w:val="center"/>
          </w:tcPr>
          <w:p w:rsidR="00FA4D22" w:rsidRPr="00687707" w:rsidRDefault="00FA4D22" w:rsidP="00687707">
            <w:pPr>
              <w:spacing w:before="0" w:after="0"/>
              <w:jc w:val="center"/>
              <w:rPr>
                <w:rFonts w:eastAsia="Calibri"/>
                <w:color w:val="000000"/>
                <w:sz w:val="20"/>
                <w:szCs w:val="20"/>
              </w:rPr>
            </w:pPr>
            <w:r w:rsidRPr="00687707">
              <w:rPr>
                <w:rFonts w:eastAsia="Calibri"/>
                <w:color w:val="000000"/>
                <w:sz w:val="20"/>
                <w:szCs w:val="20"/>
              </w:rPr>
              <w:t>0,25</w:t>
            </w:r>
          </w:p>
        </w:tc>
        <w:tc>
          <w:tcPr>
            <w:tcW w:w="1666" w:type="pct"/>
            <w:shd w:val="clear" w:color="auto" w:fill="auto"/>
            <w:vAlign w:val="center"/>
          </w:tcPr>
          <w:p w:rsidR="00FA4D22" w:rsidRPr="00687707" w:rsidRDefault="00FA4D22" w:rsidP="00687707">
            <w:pPr>
              <w:spacing w:before="0" w:after="0"/>
              <w:jc w:val="center"/>
              <w:rPr>
                <w:rFonts w:eastAsia="Calibri"/>
                <w:color w:val="000000"/>
                <w:sz w:val="20"/>
                <w:szCs w:val="20"/>
              </w:rPr>
            </w:pPr>
            <w:r w:rsidRPr="00687707">
              <w:rPr>
                <w:rFonts w:eastAsia="Calibri"/>
                <w:color w:val="000000"/>
                <w:sz w:val="20"/>
                <w:szCs w:val="20"/>
              </w:rPr>
              <w:t>0,15</w:t>
            </w:r>
          </w:p>
        </w:tc>
      </w:tr>
      <w:tr w:rsidR="00FA4D22" w:rsidRPr="00110695" w:rsidTr="00687707">
        <w:tc>
          <w:tcPr>
            <w:tcW w:w="1668" w:type="pct"/>
            <w:shd w:val="clear" w:color="auto" w:fill="auto"/>
            <w:vAlign w:val="center"/>
          </w:tcPr>
          <w:p w:rsidR="00FA4D22" w:rsidRPr="00687707" w:rsidRDefault="00FA4D22" w:rsidP="00687707">
            <w:pPr>
              <w:spacing w:before="0" w:after="0"/>
              <w:jc w:val="center"/>
              <w:rPr>
                <w:rFonts w:eastAsia="Calibri"/>
                <w:color w:val="000000"/>
                <w:sz w:val="20"/>
                <w:szCs w:val="20"/>
              </w:rPr>
            </w:pPr>
            <w:r w:rsidRPr="00687707">
              <w:rPr>
                <w:rFonts w:eastAsia="Calibri"/>
                <w:color w:val="000000"/>
                <w:sz w:val="20"/>
                <w:szCs w:val="20"/>
              </w:rPr>
              <w:t>0,4</w:t>
            </w:r>
          </w:p>
        </w:tc>
        <w:tc>
          <w:tcPr>
            <w:tcW w:w="1666" w:type="pct"/>
            <w:shd w:val="clear" w:color="auto" w:fill="auto"/>
            <w:vAlign w:val="center"/>
          </w:tcPr>
          <w:p w:rsidR="00FA4D22" w:rsidRPr="00687707" w:rsidRDefault="00FA4D22" w:rsidP="00687707">
            <w:pPr>
              <w:spacing w:before="0" w:after="0"/>
              <w:jc w:val="center"/>
              <w:rPr>
                <w:rFonts w:eastAsia="Calibri"/>
                <w:color w:val="000000"/>
                <w:sz w:val="20"/>
                <w:szCs w:val="20"/>
              </w:rPr>
            </w:pPr>
            <w:r w:rsidRPr="00687707">
              <w:rPr>
                <w:rFonts w:eastAsia="Calibri"/>
                <w:color w:val="000000"/>
                <w:sz w:val="20"/>
                <w:szCs w:val="20"/>
              </w:rPr>
              <w:t>0,15</w:t>
            </w:r>
          </w:p>
        </w:tc>
        <w:tc>
          <w:tcPr>
            <w:tcW w:w="1666" w:type="pct"/>
            <w:shd w:val="clear" w:color="auto" w:fill="auto"/>
            <w:vAlign w:val="center"/>
          </w:tcPr>
          <w:p w:rsidR="00FA4D22" w:rsidRPr="00687707" w:rsidRDefault="00FA4D22" w:rsidP="00687707">
            <w:pPr>
              <w:spacing w:before="0" w:after="0"/>
              <w:jc w:val="center"/>
              <w:rPr>
                <w:rFonts w:eastAsia="Calibri"/>
                <w:color w:val="000000"/>
                <w:sz w:val="20"/>
                <w:szCs w:val="20"/>
              </w:rPr>
            </w:pPr>
            <w:r w:rsidRPr="00687707">
              <w:rPr>
                <w:rFonts w:eastAsia="Calibri"/>
                <w:color w:val="000000"/>
                <w:sz w:val="20"/>
                <w:szCs w:val="20"/>
              </w:rPr>
              <w:t>0,06</w:t>
            </w:r>
          </w:p>
        </w:tc>
      </w:tr>
      <w:tr w:rsidR="00FA4D22" w:rsidRPr="00110695" w:rsidTr="00687707">
        <w:tc>
          <w:tcPr>
            <w:tcW w:w="1668" w:type="pct"/>
            <w:shd w:val="clear" w:color="auto" w:fill="auto"/>
            <w:vAlign w:val="center"/>
          </w:tcPr>
          <w:p w:rsidR="00FA4D22" w:rsidRPr="00687707" w:rsidRDefault="00FA4D22" w:rsidP="00687707">
            <w:pPr>
              <w:spacing w:before="0" w:after="0"/>
              <w:jc w:val="center"/>
              <w:rPr>
                <w:rFonts w:eastAsia="Calibri"/>
                <w:color w:val="000000"/>
                <w:sz w:val="20"/>
                <w:szCs w:val="20"/>
              </w:rPr>
            </w:pPr>
            <w:r w:rsidRPr="00687707">
              <w:rPr>
                <w:rFonts w:eastAsia="Calibri"/>
                <w:color w:val="000000"/>
                <w:sz w:val="20"/>
                <w:szCs w:val="20"/>
              </w:rPr>
              <w:t>0,5</w:t>
            </w:r>
          </w:p>
        </w:tc>
        <w:tc>
          <w:tcPr>
            <w:tcW w:w="1666" w:type="pct"/>
            <w:shd w:val="clear" w:color="auto" w:fill="auto"/>
            <w:vAlign w:val="center"/>
          </w:tcPr>
          <w:p w:rsidR="00FA4D22" w:rsidRPr="00687707" w:rsidRDefault="00FA4D22" w:rsidP="00687707">
            <w:pPr>
              <w:spacing w:before="0" w:after="0"/>
              <w:jc w:val="center"/>
              <w:rPr>
                <w:rFonts w:eastAsia="Calibri"/>
                <w:color w:val="000000"/>
                <w:sz w:val="20"/>
                <w:szCs w:val="20"/>
              </w:rPr>
            </w:pPr>
            <w:r w:rsidRPr="00687707">
              <w:rPr>
                <w:rFonts w:eastAsia="Calibri"/>
                <w:color w:val="000000"/>
                <w:sz w:val="20"/>
                <w:szCs w:val="20"/>
              </w:rPr>
              <w:t>0,05</w:t>
            </w:r>
          </w:p>
        </w:tc>
        <w:tc>
          <w:tcPr>
            <w:tcW w:w="1666" w:type="pct"/>
            <w:shd w:val="clear" w:color="auto" w:fill="auto"/>
            <w:vAlign w:val="center"/>
          </w:tcPr>
          <w:p w:rsidR="00FA4D22" w:rsidRPr="00687707" w:rsidRDefault="00FA4D22" w:rsidP="00687707">
            <w:pPr>
              <w:spacing w:before="0" w:after="0"/>
              <w:jc w:val="center"/>
              <w:rPr>
                <w:rFonts w:eastAsia="Calibri"/>
                <w:color w:val="000000"/>
                <w:sz w:val="20"/>
                <w:szCs w:val="20"/>
              </w:rPr>
            </w:pPr>
            <w:r w:rsidRPr="00687707">
              <w:rPr>
                <w:rFonts w:eastAsia="Calibri"/>
                <w:color w:val="000000"/>
                <w:sz w:val="20"/>
                <w:szCs w:val="20"/>
              </w:rPr>
              <w:t>0,02</w:t>
            </w:r>
          </w:p>
        </w:tc>
      </w:tr>
      <w:tr w:rsidR="00FA4D22" w:rsidRPr="00110695" w:rsidTr="00687707">
        <w:tc>
          <w:tcPr>
            <w:tcW w:w="1668" w:type="pct"/>
            <w:shd w:val="clear" w:color="auto" w:fill="auto"/>
            <w:vAlign w:val="center"/>
          </w:tcPr>
          <w:p w:rsidR="00FA4D22" w:rsidRPr="00687707" w:rsidRDefault="00FA4D22" w:rsidP="00687707">
            <w:pPr>
              <w:spacing w:before="0" w:after="0"/>
              <w:jc w:val="center"/>
              <w:rPr>
                <w:rFonts w:eastAsia="Calibri"/>
                <w:color w:val="000000"/>
                <w:sz w:val="20"/>
                <w:szCs w:val="20"/>
              </w:rPr>
            </w:pPr>
            <w:r w:rsidRPr="00687707">
              <w:rPr>
                <w:rFonts w:eastAsia="Calibri"/>
                <w:color w:val="000000"/>
                <w:sz w:val="20"/>
                <w:szCs w:val="20"/>
              </w:rPr>
              <w:t>0,6</w:t>
            </w:r>
          </w:p>
        </w:tc>
        <w:tc>
          <w:tcPr>
            <w:tcW w:w="1666" w:type="pct"/>
            <w:shd w:val="clear" w:color="auto" w:fill="auto"/>
            <w:vAlign w:val="center"/>
          </w:tcPr>
          <w:p w:rsidR="00FA4D22" w:rsidRPr="00687707" w:rsidRDefault="00FA4D22" w:rsidP="00687707">
            <w:pPr>
              <w:spacing w:before="0" w:after="0"/>
              <w:jc w:val="center"/>
              <w:rPr>
                <w:rFonts w:eastAsia="Calibri"/>
                <w:color w:val="000000"/>
                <w:sz w:val="20"/>
                <w:szCs w:val="20"/>
              </w:rPr>
            </w:pPr>
            <w:r w:rsidRPr="00687707">
              <w:rPr>
                <w:rFonts w:eastAsia="Calibri"/>
                <w:color w:val="000000"/>
                <w:sz w:val="20"/>
                <w:szCs w:val="20"/>
              </w:rPr>
              <w:t>0,02</w:t>
            </w:r>
          </w:p>
        </w:tc>
        <w:tc>
          <w:tcPr>
            <w:tcW w:w="1666" w:type="pct"/>
            <w:shd w:val="clear" w:color="auto" w:fill="auto"/>
            <w:vAlign w:val="center"/>
          </w:tcPr>
          <w:p w:rsidR="00FA4D22" w:rsidRPr="00687707" w:rsidRDefault="00FA4D22" w:rsidP="00687707">
            <w:pPr>
              <w:spacing w:before="0" w:after="0"/>
              <w:jc w:val="center"/>
              <w:rPr>
                <w:rFonts w:eastAsia="Calibri"/>
                <w:color w:val="000000"/>
                <w:sz w:val="20"/>
                <w:szCs w:val="20"/>
              </w:rPr>
            </w:pPr>
            <w:r w:rsidRPr="00687707">
              <w:rPr>
                <w:rFonts w:eastAsia="Calibri"/>
                <w:color w:val="000000"/>
                <w:sz w:val="20"/>
                <w:szCs w:val="20"/>
              </w:rPr>
              <w:t>0</w:t>
            </w:r>
          </w:p>
        </w:tc>
      </w:tr>
      <w:tr w:rsidR="00FA4D22" w:rsidRPr="00110695" w:rsidTr="00687707">
        <w:tc>
          <w:tcPr>
            <w:tcW w:w="1668" w:type="pct"/>
            <w:shd w:val="clear" w:color="auto" w:fill="auto"/>
            <w:vAlign w:val="center"/>
          </w:tcPr>
          <w:p w:rsidR="00FA4D22" w:rsidRPr="00687707" w:rsidRDefault="00FA4D22" w:rsidP="00687707">
            <w:pPr>
              <w:spacing w:before="0" w:after="0"/>
              <w:jc w:val="center"/>
              <w:rPr>
                <w:rFonts w:eastAsia="Calibri"/>
                <w:color w:val="000000"/>
                <w:sz w:val="20"/>
                <w:szCs w:val="20"/>
              </w:rPr>
            </w:pPr>
            <w:r w:rsidRPr="00687707">
              <w:rPr>
                <w:rFonts w:eastAsia="Calibri"/>
                <w:color w:val="000000"/>
                <w:sz w:val="20"/>
                <w:szCs w:val="20"/>
              </w:rPr>
              <w:t>&gt;0,7</w:t>
            </w:r>
          </w:p>
        </w:tc>
        <w:tc>
          <w:tcPr>
            <w:tcW w:w="1666" w:type="pct"/>
            <w:shd w:val="clear" w:color="auto" w:fill="auto"/>
            <w:vAlign w:val="center"/>
          </w:tcPr>
          <w:p w:rsidR="00FA4D22" w:rsidRPr="00687707" w:rsidRDefault="00FA4D22" w:rsidP="00687707">
            <w:pPr>
              <w:spacing w:before="0" w:after="0"/>
              <w:jc w:val="center"/>
              <w:rPr>
                <w:rFonts w:eastAsia="Calibri"/>
                <w:color w:val="000000"/>
                <w:sz w:val="20"/>
                <w:szCs w:val="20"/>
              </w:rPr>
            </w:pPr>
            <w:r w:rsidRPr="00687707">
              <w:rPr>
                <w:rFonts w:eastAsia="Calibri"/>
                <w:color w:val="000000"/>
                <w:sz w:val="20"/>
                <w:szCs w:val="20"/>
              </w:rPr>
              <w:t>0</w:t>
            </w:r>
          </w:p>
        </w:tc>
        <w:tc>
          <w:tcPr>
            <w:tcW w:w="1666" w:type="pct"/>
            <w:shd w:val="clear" w:color="auto" w:fill="auto"/>
            <w:vAlign w:val="center"/>
          </w:tcPr>
          <w:p w:rsidR="00FA4D22" w:rsidRPr="00687707" w:rsidRDefault="00FA4D22" w:rsidP="00687707">
            <w:pPr>
              <w:spacing w:before="0" w:after="0"/>
              <w:jc w:val="center"/>
              <w:rPr>
                <w:rFonts w:eastAsia="Calibri"/>
                <w:color w:val="000000"/>
                <w:sz w:val="20"/>
                <w:szCs w:val="20"/>
              </w:rPr>
            </w:pPr>
            <w:r w:rsidRPr="00687707">
              <w:rPr>
                <w:rFonts w:eastAsia="Calibri"/>
                <w:color w:val="000000"/>
                <w:sz w:val="20"/>
                <w:szCs w:val="20"/>
              </w:rPr>
              <w:t>0</w:t>
            </w:r>
          </w:p>
        </w:tc>
      </w:tr>
    </w:tbl>
    <w:p w:rsidR="00FA4D22" w:rsidRDefault="00FA4D22" w:rsidP="00FA4D22">
      <w:pPr>
        <w:pStyle w:val="Heading4"/>
      </w:pPr>
      <w:r>
        <w:lastRenderedPageBreak/>
        <w:t>Solar contribution factors (III and IV)</w:t>
      </w:r>
    </w:p>
    <w:p w:rsidR="00FA4D22" w:rsidRDefault="00FA4D22" w:rsidP="00FA4D22">
      <w:r>
        <w:t>Elements III and IV are calculated as follows:</w:t>
      </w:r>
    </w:p>
    <w:p w:rsidR="00FA4D22" w:rsidRPr="00A60D3A" w:rsidRDefault="00A60D3A" w:rsidP="007319ED">
      <w:pPr>
        <w:jc w:val="center"/>
      </w:pPr>
      <m:oMathPara>
        <m:oMath>
          <m:r>
            <w:rPr>
              <w:rFonts w:ascii="Cambria Math" w:hAnsi="Cambria Math"/>
            </w:rPr>
            <m:t>III=</m:t>
          </m:r>
          <m:f>
            <m:fPr>
              <m:ctrlPr>
                <w:rPr>
                  <w:rFonts w:ascii="Cambria Math" w:hAnsi="Cambria Math"/>
                  <w:i/>
                </w:rPr>
              </m:ctrlPr>
            </m:fPr>
            <m:num>
              <m:r>
                <w:rPr>
                  <w:rFonts w:ascii="Cambria Math" w:hAnsi="Cambria Math"/>
                </w:rPr>
                <m:t>294</m:t>
              </m:r>
            </m:num>
            <m:den>
              <m:r>
                <w:rPr>
                  <w:rFonts w:ascii="Cambria Math" w:hAnsi="Cambria Math"/>
                </w:rPr>
                <m:t>11·</m:t>
              </m:r>
              <m:sSub>
                <m:sSubPr>
                  <m:ctrlPr>
                    <w:rPr>
                      <w:rFonts w:ascii="Cambria Math" w:hAnsi="Cambria Math"/>
                      <w:i/>
                    </w:rPr>
                  </m:ctrlPr>
                </m:sSubPr>
                <m:e>
                  <m:r>
                    <w:rPr>
                      <w:rFonts w:ascii="Cambria Math" w:hAnsi="Cambria Math"/>
                    </w:rPr>
                    <m:t>P</m:t>
                  </m:r>
                </m:e>
                <m:sub>
                  <m:r>
                    <w:rPr>
                      <w:rFonts w:ascii="Cambria Math" w:hAnsi="Cambria Math"/>
                    </w:rPr>
                    <m:t>rated</m:t>
                  </m:r>
                </m:sub>
              </m:sSub>
            </m:den>
          </m:f>
        </m:oMath>
      </m:oMathPara>
    </w:p>
    <w:p w:rsidR="00FA4D22" w:rsidRPr="00A60D3A" w:rsidRDefault="00A60D3A" w:rsidP="007319ED">
      <w:pPr>
        <w:jc w:val="center"/>
      </w:pPr>
      <m:oMathPara>
        <m:oMath>
          <m:r>
            <w:rPr>
              <w:rFonts w:ascii="Cambria Math" w:hAnsi="Cambria Math"/>
            </w:rPr>
            <m:t>IV=</m:t>
          </m:r>
          <m:f>
            <m:fPr>
              <m:ctrlPr>
                <w:rPr>
                  <w:rFonts w:ascii="Cambria Math" w:hAnsi="Cambria Math"/>
                  <w:i/>
                </w:rPr>
              </m:ctrlPr>
            </m:fPr>
            <m:num>
              <m:r>
                <w:rPr>
                  <w:rFonts w:ascii="Cambria Math" w:hAnsi="Cambria Math"/>
                </w:rPr>
                <m:t>115</m:t>
              </m:r>
            </m:num>
            <m:den>
              <m:r>
                <w:rPr>
                  <w:rFonts w:ascii="Cambria Math" w:hAnsi="Cambria Math"/>
                </w:rPr>
                <m:t>11·</m:t>
              </m:r>
              <m:sSub>
                <m:sSubPr>
                  <m:ctrlPr>
                    <w:rPr>
                      <w:rFonts w:ascii="Cambria Math" w:hAnsi="Cambria Math"/>
                      <w:i/>
                    </w:rPr>
                  </m:ctrlPr>
                </m:sSubPr>
                <m:e>
                  <m:r>
                    <w:rPr>
                      <w:rFonts w:ascii="Cambria Math" w:hAnsi="Cambria Math"/>
                    </w:rPr>
                    <m:t>P</m:t>
                  </m:r>
                </m:e>
                <m:sub>
                  <m:r>
                    <w:rPr>
                      <w:rFonts w:ascii="Cambria Math" w:hAnsi="Cambria Math"/>
                    </w:rPr>
                    <m:t>rated</m:t>
                  </m:r>
                </m:sub>
              </m:sSub>
            </m:den>
          </m:f>
        </m:oMath>
      </m:oMathPara>
    </w:p>
    <w:p w:rsidR="00FA4D22" w:rsidRDefault="00FA4D22" w:rsidP="00FA4D22">
      <w:r>
        <w:t>These values are combined with the collector size in m</w:t>
      </w:r>
      <w:r w:rsidRPr="00A11628">
        <w:rPr>
          <w:vertAlign w:val="superscript"/>
        </w:rPr>
        <w:t>2</w:t>
      </w:r>
      <w:r>
        <w:t>, the tank volume in m</w:t>
      </w:r>
      <w:r w:rsidRPr="00A11628">
        <w:rPr>
          <w:vertAlign w:val="superscript"/>
        </w:rPr>
        <w:t>3</w:t>
      </w:r>
      <w:r>
        <w:t xml:space="preserve"> and the collector efficiency in %. All these values are to be found in the solar device fiche.</w:t>
      </w:r>
    </w:p>
    <w:p w:rsidR="00FA4D22" w:rsidRDefault="00FA4D22" w:rsidP="00FA4D22">
      <w:r>
        <w:t>A factor depending on the efficiency of the tank is also to be used:</w:t>
      </w:r>
    </w:p>
    <w:tbl>
      <w:tblPr>
        <w:tblW w:w="5000" w:type="pct"/>
        <w:tblBorders>
          <w:insideH w:val="single" w:sz="4" w:space="0" w:color="auto"/>
        </w:tblBorders>
        <w:tblLook w:val="04A0" w:firstRow="1" w:lastRow="0" w:firstColumn="1" w:lastColumn="0" w:noHBand="0" w:noVBand="1"/>
      </w:tblPr>
      <w:tblGrid>
        <w:gridCol w:w="4247"/>
        <w:gridCol w:w="4275"/>
      </w:tblGrid>
      <w:tr w:rsidR="00FA4D22" w:rsidTr="00687707">
        <w:tc>
          <w:tcPr>
            <w:tcW w:w="2492" w:type="pct"/>
            <w:shd w:val="clear" w:color="auto" w:fill="auto"/>
            <w:vAlign w:val="center"/>
          </w:tcPr>
          <w:p w:rsidR="00FA4D22" w:rsidRPr="00687707" w:rsidRDefault="00FA4D22" w:rsidP="00687707">
            <w:pPr>
              <w:spacing w:before="0" w:after="0"/>
              <w:jc w:val="center"/>
              <w:rPr>
                <w:rFonts w:eastAsia="Calibri"/>
                <w:sz w:val="20"/>
                <w:szCs w:val="20"/>
              </w:rPr>
            </w:pPr>
            <w:r w:rsidRPr="00687707">
              <w:rPr>
                <w:rFonts w:eastAsia="Calibri"/>
                <w:sz w:val="20"/>
                <w:szCs w:val="20"/>
              </w:rPr>
              <w:t>A</w:t>
            </w:r>
            <w:r w:rsidRPr="00687707">
              <w:rPr>
                <w:rFonts w:eastAsia="Calibri"/>
                <w:sz w:val="20"/>
                <w:szCs w:val="20"/>
                <w:vertAlign w:val="superscript"/>
              </w:rPr>
              <w:t>+</w:t>
            </w:r>
          </w:p>
        </w:tc>
        <w:tc>
          <w:tcPr>
            <w:tcW w:w="2508" w:type="pct"/>
            <w:shd w:val="clear" w:color="auto" w:fill="auto"/>
            <w:vAlign w:val="center"/>
          </w:tcPr>
          <w:p w:rsidR="00FA4D22" w:rsidRPr="00687707" w:rsidRDefault="00FA4D22" w:rsidP="00687707">
            <w:pPr>
              <w:spacing w:before="0" w:after="0"/>
              <w:jc w:val="center"/>
              <w:rPr>
                <w:rFonts w:eastAsia="Calibri"/>
                <w:sz w:val="20"/>
                <w:szCs w:val="20"/>
              </w:rPr>
            </w:pPr>
            <w:r w:rsidRPr="00687707">
              <w:rPr>
                <w:rFonts w:eastAsia="Calibri"/>
                <w:sz w:val="20"/>
                <w:szCs w:val="20"/>
              </w:rPr>
              <w:t>0.95</w:t>
            </w:r>
          </w:p>
        </w:tc>
      </w:tr>
      <w:tr w:rsidR="00FA4D22" w:rsidTr="00687707">
        <w:tc>
          <w:tcPr>
            <w:tcW w:w="2492" w:type="pct"/>
            <w:shd w:val="clear" w:color="auto" w:fill="auto"/>
            <w:vAlign w:val="center"/>
          </w:tcPr>
          <w:p w:rsidR="00FA4D22" w:rsidRPr="00687707" w:rsidRDefault="00FA4D22" w:rsidP="00687707">
            <w:pPr>
              <w:spacing w:before="0" w:after="0"/>
              <w:jc w:val="center"/>
              <w:rPr>
                <w:rFonts w:eastAsia="Calibri"/>
                <w:sz w:val="20"/>
                <w:szCs w:val="20"/>
              </w:rPr>
            </w:pPr>
            <w:r w:rsidRPr="00687707">
              <w:rPr>
                <w:rFonts w:eastAsia="Calibri"/>
                <w:sz w:val="20"/>
                <w:szCs w:val="20"/>
              </w:rPr>
              <w:t>A</w:t>
            </w:r>
          </w:p>
        </w:tc>
        <w:tc>
          <w:tcPr>
            <w:tcW w:w="2508" w:type="pct"/>
            <w:shd w:val="clear" w:color="auto" w:fill="auto"/>
            <w:vAlign w:val="center"/>
          </w:tcPr>
          <w:p w:rsidR="00FA4D22" w:rsidRPr="00687707" w:rsidRDefault="00FA4D22" w:rsidP="00687707">
            <w:pPr>
              <w:spacing w:before="0" w:after="0"/>
              <w:jc w:val="center"/>
              <w:rPr>
                <w:rFonts w:eastAsia="Calibri"/>
                <w:sz w:val="20"/>
                <w:szCs w:val="20"/>
              </w:rPr>
            </w:pPr>
            <w:r w:rsidRPr="00687707">
              <w:rPr>
                <w:rFonts w:eastAsia="Calibri"/>
                <w:sz w:val="20"/>
                <w:szCs w:val="20"/>
              </w:rPr>
              <w:t>0.91</w:t>
            </w:r>
          </w:p>
        </w:tc>
      </w:tr>
      <w:tr w:rsidR="00FA4D22" w:rsidTr="00687707">
        <w:tc>
          <w:tcPr>
            <w:tcW w:w="2492" w:type="pct"/>
            <w:shd w:val="clear" w:color="auto" w:fill="auto"/>
            <w:vAlign w:val="center"/>
          </w:tcPr>
          <w:p w:rsidR="00FA4D22" w:rsidRPr="00687707" w:rsidRDefault="00FA4D22" w:rsidP="00687707">
            <w:pPr>
              <w:spacing w:before="0" w:after="0"/>
              <w:jc w:val="center"/>
              <w:rPr>
                <w:rFonts w:eastAsia="Calibri"/>
                <w:sz w:val="20"/>
                <w:szCs w:val="20"/>
              </w:rPr>
            </w:pPr>
            <w:r w:rsidRPr="00687707">
              <w:rPr>
                <w:rFonts w:eastAsia="Calibri"/>
                <w:sz w:val="20"/>
                <w:szCs w:val="20"/>
              </w:rPr>
              <w:t>B</w:t>
            </w:r>
          </w:p>
        </w:tc>
        <w:tc>
          <w:tcPr>
            <w:tcW w:w="2508" w:type="pct"/>
            <w:shd w:val="clear" w:color="auto" w:fill="auto"/>
            <w:vAlign w:val="center"/>
          </w:tcPr>
          <w:p w:rsidR="00FA4D22" w:rsidRPr="00687707" w:rsidRDefault="00FA4D22" w:rsidP="00687707">
            <w:pPr>
              <w:spacing w:before="0" w:after="0"/>
              <w:jc w:val="center"/>
              <w:rPr>
                <w:rFonts w:eastAsia="Calibri"/>
                <w:sz w:val="20"/>
                <w:szCs w:val="20"/>
              </w:rPr>
            </w:pPr>
            <w:r w:rsidRPr="00687707">
              <w:rPr>
                <w:rFonts w:eastAsia="Calibri"/>
                <w:sz w:val="20"/>
                <w:szCs w:val="20"/>
              </w:rPr>
              <w:t>0.86</w:t>
            </w:r>
          </w:p>
        </w:tc>
      </w:tr>
      <w:tr w:rsidR="00FA4D22" w:rsidTr="00687707">
        <w:tc>
          <w:tcPr>
            <w:tcW w:w="2492" w:type="pct"/>
            <w:shd w:val="clear" w:color="auto" w:fill="auto"/>
            <w:vAlign w:val="center"/>
          </w:tcPr>
          <w:p w:rsidR="00FA4D22" w:rsidRPr="00687707" w:rsidRDefault="00FA4D22" w:rsidP="00687707">
            <w:pPr>
              <w:spacing w:before="0" w:after="0"/>
              <w:jc w:val="center"/>
              <w:rPr>
                <w:rFonts w:eastAsia="Calibri"/>
                <w:sz w:val="20"/>
                <w:szCs w:val="20"/>
              </w:rPr>
            </w:pPr>
            <w:r w:rsidRPr="00687707">
              <w:rPr>
                <w:rFonts w:eastAsia="Calibri"/>
                <w:sz w:val="20"/>
                <w:szCs w:val="20"/>
              </w:rPr>
              <w:t>C</w:t>
            </w:r>
          </w:p>
        </w:tc>
        <w:tc>
          <w:tcPr>
            <w:tcW w:w="2508" w:type="pct"/>
            <w:shd w:val="clear" w:color="auto" w:fill="auto"/>
            <w:vAlign w:val="center"/>
          </w:tcPr>
          <w:p w:rsidR="00FA4D22" w:rsidRPr="00687707" w:rsidRDefault="00FA4D22" w:rsidP="00687707">
            <w:pPr>
              <w:spacing w:before="0" w:after="0"/>
              <w:jc w:val="center"/>
              <w:rPr>
                <w:rFonts w:eastAsia="Calibri"/>
                <w:sz w:val="20"/>
                <w:szCs w:val="20"/>
              </w:rPr>
            </w:pPr>
            <w:r w:rsidRPr="00687707">
              <w:rPr>
                <w:rFonts w:eastAsia="Calibri"/>
                <w:sz w:val="20"/>
                <w:szCs w:val="20"/>
              </w:rPr>
              <w:t>0.83</w:t>
            </w:r>
          </w:p>
        </w:tc>
      </w:tr>
      <w:tr w:rsidR="00FA4D22" w:rsidTr="00687707">
        <w:tc>
          <w:tcPr>
            <w:tcW w:w="2492" w:type="pct"/>
            <w:shd w:val="clear" w:color="auto" w:fill="auto"/>
            <w:vAlign w:val="center"/>
          </w:tcPr>
          <w:p w:rsidR="00FA4D22" w:rsidRPr="00687707" w:rsidRDefault="00FA4D22" w:rsidP="00687707">
            <w:pPr>
              <w:spacing w:before="0" w:after="0"/>
              <w:jc w:val="center"/>
              <w:rPr>
                <w:rFonts w:eastAsia="Calibri"/>
                <w:sz w:val="20"/>
                <w:szCs w:val="20"/>
              </w:rPr>
            </w:pPr>
            <w:r w:rsidRPr="00687707">
              <w:rPr>
                <w:rFonts w:eastAsia="Calibri"/>
                <w:sz w:val="20"/>
                <w:szCs w:val="20"/>
              </w:rPr>
              <w:t>D-G</w:t>
            </w:r>
          </w:p>
        </w:tc>
        <w:tc>
          <w:tcPr>
            <w:tcW w:w="2508" w:type="pct"/>
            <w:shd w:val="clear" w:color="auto" w:fill="auto"/>
            <w:vAlign w:val="center"/>
          </w:tcPr>
          <w:p w:rsidR="00FA4D22" w:rsidRPr="00687707" w:rsidRDefault="00FA4D22" w:rsidP="00687707">
            <w:pPr>
              <w:spacing w:before="0" w:after="0"/>
              <w:jc w:val="center"/>
              <w:rPr>
                <w:rFonts w:eastAsia="Calibri"/>
                <w:sz w:val="20"/>
                <w:szCs w:val="20"/>
              </w:rPr>
            </w:pPr>
            <w:r w:rsidRPr="00687707">
              <w:rPr>
                <w:rFonts w:eastAsia="Calibri"/>
                <w:sz w:val="20"/>
                <w:szCs w:val="20"/>
              </w:rPr>
              <w:t>0.81</w:t>
            </w:r>
          </w:p>
        </w:tc>
      </w:tr>
    </w:tbl>
    <w:p w:rsidR="00FA4D22" w:rsidRDefault="00FA4D22" w:rsidP="00FA4D22">
      <w:pPr>
        <w:pStyle w:val="Heading4"/>
      </w:pPr>
      <w:r>
        <w:t>Factors for heat pu</w:t>
      </w:r>
      <w:r w:rsidR="005C7BD4">
        <w:t>m</w:t>
      </w:r>
      <w:r>
        <w:t>ps (V and VI)</w:t>
      </w:r>
    </w:p>
    <w:p w:rsidR="00FA4D22" w:rsidRDefault="00FA4D22" w:rsidP="00FA4D22">
      <w:r>
        <w:t>For heat pumps the following values need also to be included:</w:t>
      </w:r>
    </w:p>
    <w:p w:rsidR="00FA4D22" w:rsidRPr="007319ED" w:rsidRDefault="00FA4D22" w:rsidP="00687707">
      <w:pPr>
        <w:numPr>
          <w:ilvl w:val="0"/>
          <w:numId w:val="19"/>
        </w:numPr>
      </w:pPr>
      <w:r w:rsidRPr="007319ED">
        <w:t>V. Difference between the seasonal space heating energy efficiencies under average and colder climate conditions, expressed in %.</w:t>
      </w:r>
    </w:p>
    <w:p w:rsidR="00FA4D22" w:rsidRPr="007319ED" w:rsidRDefault="00FA4D22" w:rsidP="00687707">
      <w:pPr>
        <w:numPr>
          <w:ilvl w:val="0"/>
          <w:numId w:val="19"/>
        </w:numPr>
      </w:pPr>
      <w:r w:rsidRPr="007319ED">
        <w:t>VI. Difference between the seasonal space heating energy efficiency under warmer and average climate conditions, expressed in %.</w:t>
      </w:r>
    </w:p>
    <w:p w:rsidR="00FA4D22" w:rsidRDefault="00FA4D22" w:rsidP="00FA4D22">
      <w:pPr>
        <w:pStyle w:val="Heading4"/>
      </w:pPr>
      <w:r>
        <w:t>Space heating energy efficiency of the package</w:t>
      </w:r>
    </w:p>
    <w:p w:rsidR="00FA4D22" w:rsidRDefault="00FA4D22" w:rsidP="00FA4D22">
      <w:r>
        <w:t>The space heating energy efficiency of the package is calculated according to the following table:</w:t>
      </w:r>
    </w:p>
    <w:tbl>
      <w:tblPr>
        <w:tblW w:w="5000" w:type="pct"/>
        <w:tblBorders>
          <w:insideH w:val="single" w:sz="4" w:space="0" w:color="auto"/>
        </w:tblBorders>
        <w:tblLook w:val="04A0" w:firstRow="1" w:lastRow="0" w:firstColumn="1" w:lastColumn="0" w:noHBand="0" w:noVBand="1"/>
      </w:tblPr>
      <w:tblGrid>
        <w:gridCol w:w="4263"/>
        <w:gridCol w:w="4259"/>
      </w:tblGrid>
      <w:tr w:rsidR="00FA4D22" w:rsidTr="00687707">
        <w:tc>
          <w:tcPr>
            <w:tcW w:w="2501" w:type="pct"/>
            <w:shd w:val="clear" w:color="auto" w:fill="auto"/>
            <w:vAlign w:val="center"/>
          </w:tcPr>
          <w:p w:rsidR="00FA4D22" w:rsidRPr="00687707" w:rsidRDefault="00FA4D22" w:rsidP="00687707">
            <w:pPr>
              <w:spacing w:before="0" w:after="0"/>
              <w:jc w:val="center"/>
              <w:rPr>
                <w:rFonts w:eastAsia="Calibri"/>
                <w:sz w:val="20"/>
                <w:szCs w:val="20"/>
              </w:rPr>
            </w:pPr>
            <w:r w:rsidRPr="00687707">
              <w:rPr>
                <w:rFonts w:eastAsia="Calibri"/>
                <w:sz w:val="20"/>
                <w:szCs w:val="20"/>
              </w:rPr>
              <w:t>A+++</w:t>
            </w:r>
          </w:p>
        </w:tc>
        <w:tc>
          <w:tcPr>
            <w:tcW w:w="2499" w:type="pct"/>
            <w:shd w:val="clear" w:color="auto" w:fill="auto"/>
            <w:vAlign w:val="center"/>
          </w:tcPr>
          <w:p w:rsidR="00FA4D22" w:rsidRPr="00687707" w:rsidRDefault="00FA4D22" w:rsidP="00687707">
            <w:pPr>
              <w:spacing w:before="0" w:after="0"/>
              <w:jc w:val="center"/>
              <w:rPr>
                <w:rFonts w:eastAsia="Calibri"/>
                <w:sz w:val="20"/>
                <w:szCs w:val="20"/>
              </w:rPr>
            </w:pPr>
            <w:r w:rsidRPr="00687707">
              <w:rPr>
                <w:rFonts w:eastAsia="Calibri"/>
                <w:sz w:val="20"/>
                <w:szCs w:val="20"/>
              </w:rPr>
              <w:t>≥ 150%</w:t>
            </w:r>
          </w:p>
        </w:tc>
      </w:tr>
      <w:tr w:rsidR="00FA4D22" w:rsidTr="00687707">
        <w:tc>
          <w:tcPr>
            <w:tcW w:w="2501" w:type="pct"/>
            <w:shd w:val="clear" w:color="auto" w:fill="auto"/>
            <w:vAlign w:val="center"/>
          </w:tcPr>
          <w:p w:rsidR="00FA4D22" w:rsidRPr="00687707" w:rsidRDefault="00FA4D22" w:rsidP="00687707">
            <w:pPr>
              <w:spacing w:before="0" w:after="0"/>
              <w:jc w:val="center"/>
              <w:rPr>
                <w:rFonts w:eastAsia="Calibri"/>
                <w:sz w:val="20"/>
                <w:szCs w:val="20"/>
              </w:rPr>
            </w:pPr>
            <w:r w:rsidRPr="00687707">
              <w:rPr>
                <w:rFonts w:eastAsia="Calibri"/>
                <w:sz w:val="20"/>
                <w:szCs w:val="20"/>
              </w:rPr>
              <w:t>A++</w:t>
            </w:r>
          </w:p>
        </w:tc>
        <w:tc>
          <w:tcPr>
            <w:tcW w:w="2499" w:type="pct"/>
            <w:shd w:val="clear" w:color="auto" w:fill="auto"/>
            <w:vAlign w:val="center"/>
          </w:tcPr>
          <w:p w:rsidR="00FA4D22" w:rsidRPr="00687707" w:rsidRDefault="00FA4D22" w:rsidP="00687707">
            <w:pPr>
              <w:spacing w:before="0" w:after="0"/>
              <w:jc w:val="center"/>
              <w:rPr>
                <w:rFonts w:eastAsia="Calibri"/>
                <w:sz w:val="20"/>
                <w:szCs w:val="20"/>
              </w:rPr>
            </w:pPr>
            <w:r w:rsidRPr="00687707">
              <w:rPr>
                <w:rFonts w:eastAsia="Calibri"/>
                <w:sz w:val="20"/>
                <w:szCs w:val="20"/>
              </w:rPr>
              <w:t>≥ 125%</w:t>
            </w:r>
          </w:p>
        </w:tc>
      </w:tr>
      <w:tr w:rsidR="00FA4D22" w:rsidTr="00687707">
        <w:tc>
          <w:tcPr>
            <w:tcW w:w="2501" w:type="pct"/>
            <w:shd w:val="clear" w:color="auto" w:fill="auto"/>
            <w:vAlign w:val="center"/>
          </w:tcPr>
          <w:p w:rsidR="00FA4D22" w:rsidRPr="00687707" w:rsidRDefault="00FA4D22" w:rsidP="00687707">
            <w:pPr>
              <w:spacing w:before="0" w:after="0"/>
              <w:jc w:val="center"/>
              <w:rPr>
                <w:rFonts w:eastAsia="Calibri"/>
                <w:sz w:val="20"/>
                <w:szCs w:val="20"/>
              </w:rPr>
            </w:pPr>
            <w:r w:rsidRPr="00687707">
              <w:rPr>
                <w:rFonts w:eastAsia="Calibri"/>
                <w:sz w:val="20"/>
                <w:szCs w:val="20"/>
              </w:rPr>
              <w:t>A+</w:t>
            </w:r>
          </w:p>
        </w:tc>
        <w:tc>
          <w:tcPr>
            <w:tcW w:w="2499" w:type="pct"/>
            <w:shd w:val="clear" w:color="auto" w:fill="auto"/>
            <w:vAlign w:val="center"/>
          </w:tcPr>
          <w:p w:rsidR="00FA4D22" w:rsidRPr="00687707" w:rsidRDefault="00FA4D22" w:rsidP="00687707">
            <w:pPr>
              <w:spacing w:before="0" w:after="0"/>
              <w:jc w:val="center"/>
              <w:rPr>
                <w:rFonts w:eastAsia="Calibri"/>
                <w:sz w:val="20"/>
                <w:szCs w:val="20"/>
              </w:rPr>
            </w:pPr>
            <w:r w:rsidRPr="00687707">
              <w:rPr>
                <w:rFonts w:eastAsia="Calibri"/>
                <w:sz w:val="20"/>
                <w:szCs w:val="20"/>
              </w:rPr>
              <w:t>≥ 98%</w:t>
            </w:r>
          </w:p>
        </w:tc>
      </w:tr>
      <w:tr w:rsidR="00FA4D22" w:rsidTr="00687707">
        <w:tc>
          <w:tcPr>
            <w:tcW w:w="2501" w:type="pct"/>
            <w:shd w:val="clear" w:color="auto" w:fill="auto"/>
            <w:vAlign w:val="center"/>
          </w:tcPr>
          <w:p w:rsidR="00FA4D22" w:rsidRPr="00687707" w:rsidRDefault="00FA4D22" w:rsidP="00687707">
            <w:pPr>
              <w:spacing w:before="0" w:after="0"/>
              <w:jc w:val="center"/>
              <w:rPr>
                <w:rFonts w:eastAsia="Calibri"/>
                <w:sz w:val="20"/>
                <w:szCs w:val="20"/>
              </w:rPr>
            </w:pPr>
            <w:r w:rsidRPr="00687707">
              <w:rPr>
                <w:rFonts w:eastAsia="Calibri"/>
                <w:sz w:val="20"/>
                <w:szCs w:val="20"/>
              </w:rPr>
              <w:t>A</w:t>
            </w:r>
          </w:p>
        </w:tc>
        <w:tc>
          <w:tcPr>
            <w:tcW w:w="2499" w:type="pct"/>
            <w:shd w:val="clear" w:color="auto" w:fill="auto"/>
            <w:vAlign w:val="center"/>
          </w:tcPr>
          <w:p w:rsidR="00FA4D22" w:rsidRPr="00687707" w:rsidRDefault="00FA4D22" w:rsidP="00687707">
            <w:pPr>
              <w:spacing w:before="0" w:after="0"/>
              <w:jc w:val="center"/>
              <w:rPr>
                <w:rFonts w:eastAsia="Calibri"/>
                <w:sz w:val="20"/>
                <w:szCs w:val="20"/>
              </w:rPr>
            </w:pPr>
            <w:r w:rsidRPr="00687707">
              <w:rPr>
                <w:rFonts w:eastAsia="Calibri"/>
                <w:sz w:val="20"/>
                <w:szCs w:val="20"/>
              </w:rPr>
              <w:t>≥ 90%</w:t>
            </w:r>
          </w:p>
        </w:tc>
      </w:tr>
      <w:tr w:rsidR="00FA4D22" w:rsidTr="00687707">
        <w:tc>
          <w:tcPr>
            <w:tcW w:w="2501" w:type="pct"/>
            <w:shd w:val="clear" w:color="auto" w:fill="auto"/>
            <w:vAlign w:val="center"/>
          </w:tcPr>
          <w:p w:rsidR="00FA4D22" w:rsidRPr="00687707" w:rsidRDefault="00FA4D22" w:rsidP="00687707">
            <w:pPr>
              <w:spacing w:before="0" w:after="0"/>
              <w:jc w:val="center"/>
              <w:rPr>
                <w:rFonts w:eastAsia="Calibri"/>
                <w:sz w:val="20"/>
                <w:szCs w:val="20"/>
              </w:rPr>
            </w:pPr>
            <w:r w:rsidRPr="00687707">
              <w:rPr>
                <w:rFonts w:eastAsia="Calibri"/>
                <w:sz w:val="20"/>
                <w:szCs w:val="20"/>
              </w:rPr>
              <w:t>B</w:t>
            </w:r>
          </w:p>
        </w:tc>
        <w:tc>
          <w:tcPr>
            <w:tcW w:w="2499" w:type="pct"/>
            <w:shd w:val="clear" w:color="auto" w:fill="auto"/>
            <w:vAlign w:val="center"/>
          </w:tcPr>
          <w:p w:rsidR="00FA4D22" w:rsidRPr="00687707" w:rsidRDefault="00FA4D22" w:rsidP="00687707">
            <w:pPr>
              <w:spacing w:before="0" w:after="0"/>
              <w:jc w:val="center"/>
              <w:rPr>
                <w:rFonts w:eastAsia="Calibri"/>
                <w:sz w:val="20"/>
                <w:szCs w:val="20"/>
              </w:rPr>
            </w:pPr>
            <w:r w:rsidRPr="00687707">
              <w:rPr>
                <w:rFonts w:eastAsia="Calibri"/>
                <w:sz w:val="20"/>
                <w:szCs w:val="20"/>
              </w:rPr>
              <w:t>≥ 82%</w:t>
            </w:r>
          </w:p>
        </w:tc>
      </w:tr>
      <w:tr w:rsidR="00FA4D22" w:rsidTr="00687707">
        <w:tc>
          <w:tcPr>
            <w:tcW w:w="2501" w:type="pct"/>
            <w:shd w:val="clear" w:color="auto" w:fill="auto"/>
            <w:vAlign w:val="center"/>
          </w:tcPr>
          <w:p w:rsidR="00FA4D22" w:rsidRPr="00687707" w:rsidRDefault="00FA4D22" w:rsidP="00687707">
            <w:pPr>
              <w:spacing w:before="0" w:after="0"/>
              <w:jc w:val="center"/>
              <w:rPr>
                <w:rFonts w:eastAsia="Calibri"/>
                <w:sz w:val="20"/>
                <w:szCs w:val="20"/>
              </w:rPr>
            </w:pPr>
            <w:r w:rsidRPr="00687707">
              <w:rPr>
                <w:rFonts w:eastAsia="Calibri"/>
                <w:sz w:val="20"/>
                <w:szCs w:val="20"/>
              </w:rPr>
              <w:t>C</w:t>
            </w:r>
          </w:p>
        </w:tc>
        <w:tc>
          <w:tcPr>
            <w:tcW w:w="2499" w:type="pct"/>
            <w:shd w:val="clear" w:color="auto" w:fill="auto"/>
            <w:vAlign w:val="center"/>
          </w:tcPr>
          <w:p w:rsidR="00FA4D22" w:rsidRPr="00687707" w:rsidRDefault="00FA4D22" w:rsidP="00687707">
            <w:pPr>
              <w:spacing w:before="0" w:after="0"/>
              <w:jc w:val="center"/>
              <w:rPr>
                <w:rFonts w:eastAsia="Calibri"/>
                <w:sz w:val="20"/>
                <w:szCs w:val="20"/>
              </w:rPr>
            </w:pPr>
            <w:r w:rsidRPr="00687707">
              <w:rPr>
                <w:rFonts w:eastAsia="Calibri"/>
                <w:sz w:val="20"/>
                <w:szCs w:val="20"/>
              </w:rPr>
              <w:t>≥ 75%</w:t>
            </w:r>
          </w:p>
        </w:tc>
      </w:tr>
      <w:tr w:rsidR="00FA4D22" w:rsidTr="00687707">
        <w:tc>
          <w:tcPr>
            <w:tcW w:w="2501" w:type="pct"/>
            <w:shd w:val="clear" w:color="auto" w:fill="auto"/>
            <w:vAlign w:val="center"/>
          </w:tcPr>
          <w:p w:rsidR="00FA4D22" w:rsidRPr="00687707" w:rsidRDefault="00FA4D22" w:rsidP="00687707">
            <w:pPr>
              <w:spacing w:before="0" w:after="0"/>
              <w:jc w:val="center"/>
              <w:rPr>
                <w:rFonts w:eastAsia="Calibri"/>
                <w:sz w:val="20"/>
                <w:szCs w:val="20"/>
              </w:rPr>
            </w:pPr>
            <w:r w:rsidRPr="00687707">
              <w:rPr>
                <w:rFonts w:eastAsia="Calibri"/>
                <w:sz w:val="20"/>
                <w:szCs w:val="20"/>
              </w:rPr>
              <w:t>D</w:t>
            </w:r>
          </w:p>
        </w:tc>
        <w:tc>
          <w:tcPr>
            <w:tcW w:w="2499" w:type="pct"/>
            <w:shd w:val="clear" w:color="auto" w:fill="auto"/>
            <w:vAlign w:val="center"/>
          </w:tcPr>
          <w:p w:rsidR="00FA4D22" w:rsidRPr="00687707" w:rsidRDefault="00FA4D22" w:rsidP="00687707">
            <w:pPr>
              <w:spacing w:before="0" w:after="0"/>
              <w:jc w:val="center"/>
              <w:rPr>
                <w:rFonts w:eastAsia="Calibri"/>
                <w:sz w:val="20"/>
                <w:szCs w:val="20"/>
              </w:rPr>
            </w:pPr>
            <w:r w:rsidRPr="00687707">
              <w:rPr>
                <w:rFonts w:eastAsia="Calibri"/>
                <w:sz w:val="20"/>
                <w:szCs w:val="20"/>
              </w:rPr>
              <w:t>≥ 36%</w:t>
            </w:r>
          </w:p>
        </w:tc>
      </w:tr>
      <w:tr w:rsidR="00FA4D22" w:rsidTr="00687707">
        <w:tc>
          <w:tcPr>
            <w:tcW w:w="2501" w:type="pct"/>
            <w:shd w:val="clear" w:color="auto" w:fill="auto"/>
            <w:vAlign w:val="center"/>
          </w:tcPr>
          <w:p w:rsidR="00FA4D22" w:rsidRPr="00687707" w:rsidRDefault="00FA4D22" w:rsidP="00687707">
            <w:pPr>
              <w:spacing w:before="0" w:after="0"/>
              <w:jc w:val="center"/>
              <w:rPr>
                <w:rFonts w:eastAsia="Calibri"/>
                <w:sz w:val="20"/>
                <w:szCs w:val="20"/>
              </w:rPr>
            </w:pPr>
            <w:r w:rsidRPr="00687707">
              <w:rPr>
                <w:rFonts w:eastAsia="Calibri"/>
                <w:sz w:val="20"/>
                <w:szCs w:val="20"/>
              </w:rPr>
              <w:t>E</w:t>
            </w:r>
          </w:p>
        </w:tc>
        <w:tc>
          <w:tcPr>
            <w:tcW w:w="2499" w:type="pct"/>
            <w:shd w:val="clear" w:color="auto" w:fill="auto"/>
            <w:vAlign w:val="center"/>
          </w:tcPr>
          <w:p w:rsidR="00FA4D22" w:rsidRPr="00687707" w:rsidRDefault="00FA4D22" w:rsidP="00687707">
            <w:pPr>
              <w:spacing w:before="0" w:after="0"/>
              <w:jc w:val="center"/>
              <w:rPr>
                <w:rFonts w:eastAsia="Calibri"/>
                <w:sz w:val="20"/>
                <w:szCs w:val="20"/>
              </w:rPr>
            </w:pPr>
            <w:r w:rsidRPr="00687707">
              <w:rPr>
                <w:rFonts w:eastAsia="Calibri"/>
                <w:sz w:val="20"/>
                <w:szCs w:val="20"/>
              </w:rPr>
              <w:t>≥ 34%</w:t>
            </w:r>
          </w:p>
        </w:tc>
      </w:tr>
      <w:tr w:rsidR="00FA4D22" w:rsidTr="00687707">
        <w:tc>
          <w:tcPr>
            <w:tcW w:w="2501" w:type="pct"/>
            <w:shd w:val="clear" w:color="auto" w:fill="auto"/>
            <w:vAlign w:val="center"/>
          </w:tcPr>
          <w:p w:rsidR="00FA4D22" w:rsidRPr="00687707" w:rsidRDefault="00FA4D22" w:rsidP="00687707">
            <w:pPr>
              <w:spacing w:before="0" w:after="0"/>
              <w:jc w:val="center"/>
              <w:rPr>
                <w:rFonts w:eastAsia="Calibri"/>
                <w:sz w:val="20"/>
                <w:szCs w:val="20"/>
              </w:rPr>
            </w:pPr>
            <w:r w:rsidRPr="00687707">
              <w:rPr>
                <w:rFonts w:eastAsia="Calibri"/>
                <w:sz w:val="20"/>
                <w:szCs w:val="20"/>
              </w:rPr>
              <w:t>F</w:t>
            </w:r>
          </w:p>
        </w:tc>
        <w:tc>
          <w:tcPr>
            <w:tcW w:w="2499" w:type="pct"/>
            <w:shd w:val="clear" w:color="auto" w:fill="auto"/>
            <w:vAlign w:val="center"/>
          </w:tcPr>
          <w:p w:rsidR="00FA4D22" w:rsidRPr="00687707" w:rsidRDefault="00FA4D22" w:rsidP="00687707">
            <w:pPr>
              <w:spacing w:before="0" w:after="0"/>
              <w:jc w:val="center"/>
              <w:rPr>
                <w:rFonts w:eastAsia="Calibri"/>
                <w:sz w:val="20"/>
                <w:szCs w:val="20"/>
              </w:rPr>
            </w:pPr>
            <w:r w:rsidRPr="00687707">
              <w:rPr>
                <w:rFonts w:eastAsia="Calibri"/>
                <w:sz w:val="20"/>
                <w:szCs w:val="20"/>
              </w:rPr>
              <w:t>≥ 30%</w:t>
            </w:r>
          </w:p>
        </w:tc>
      </w:tr>
      <w:tr w:rsidR="00FA4D22" w:rsidTr="00687707">
        <w:tc>
          <w:tcPr>
            <w:tcW w:w="2501" w:type="pct"/>
            <w:shd w:val="clear" w:color="auto" w:fill="auto"/>
            <w:vAlign w:val="center"/>
          </w:tcPr>
          <w:p w:rsidR="00FA4D22" w:rsidRPr="00687707" w:rsidRDefault="00FA4D22" w:rsidP="00687707">
            <w:pPr>
              <w:spacing w:before="0" w:after="0"/>
              <w:jc w:val="center"/>
              <w:rPr>
                <w:rFonts w:eastAsia="Calibri"/>
                <w:sz w:val="20"/>
                <w:szCs w:val="20"/>
              </w:rPr>
            </w:pPr>
            <w:r w:rsidRPr="00687707">
              <w:rPr>
                <w:rFonts w:eastAsia="Calibri"/>
                <w:sz w:val="20"/>
                <w:szCs w:val="20"/>
              </w:rPr>
              <w:t>G</w:t>
            </w:r>
          </w:p>
        </w:tc>
        <w:tc>
          <w:tcPr>
            <w:tcW w:w="2499" w:type="pct"/>
            <w:shd w:val="clear" w:color="auto" w:fill="auto"/>
            <w:vAlign w:val="center"/>
          </w:tcPr>
          <w:p w:rsidR="00FA4D22" w:rsidRPr="00687707" w:rsidRDefault="00FA4D22" w:rsidP="00687707">
            <w:pPr>
              <w:spacing w:before="0" w:after="0"/>
              <w:jc w:val="center"/>
              <w:rPr>
                <w:rFonts w:eastAsia="Calibri"/>
                <w:sz w:val="20"/>
                <w:szCs w:val="20"/>
              </w:rPr>
            </w:pPr>
            <w:r w:rsidRPr="00687707">
              <w:rPr>
                <w:rFonts w:eastAsia="Calibri"/>
                <w:sz w:val="20"/>
                <w:szCs w:val="20"/>
              </w:rPr>
              <w:t>&lt; 30%</w:t>
            </w:r>
          </w:p>
        </w:tc>
      </w:tr>
    </w:tbl>
    <w:p w:rsidR="00FA4D22" w:rsidRPr="00A11628" w:rsidRDefault="00FA4D22" w:rsidP="007E0C98">
      <w:pPr>
        <w:pStyle w:val="Heading3"/>
      </w:pPr>
      <w:r>
        <w:t>Calculation of water heating energy efficiency</w:t>
      </w:r>
      <w:r w:rsidR="00282E94">
        <w:t xml:space="preserve"> for packages</w:t>
      </w:r>
    </w:p>
    <w:p w:rsidR="00FA4D22" w:rsidRDefault="00FA4D22" w:rsidP="00FA4D22">
      <w:pPr>
        <w:pStyle w:val="Heading4"/>
      </w:pPr>
      <w:r>
        <w:t>Seasonal water heating energy efficiency (I)</w:t>
      </w:r>
    </w:p>
    <w:p w:rsidR="00FA4D22" w:rsidRDefault="00FA4D22" w:rsidP="00FA4D22">
      <w:r>
        <w:t>The value to be introduced is the seasonal space heating energy efficiency of the preferential heater, which can be a space heater, a combination heater, a cogeneration space heater, a heat pump space heater or a low-temperature heat pump space heater.</w:t>
      </w:r>
    </w:p>
    <w:p w:rsidR="00FA4D22" w:rsidRDefault="00FA4D22" w:rsidP="00FA4D22">
      <w:r>
        <w:t xml:space="preserve">This information can be found on the product fiche that needs to </w:t>
      </w:r>
      <w:proofErr w:type="spellStart"/>
      <w:proofErr w:type="gramStart"/>
      <w:r>
        <w:t>provide</w:t>
      </w:r>
      <w:r w:rsidR="00231974">
        <w:t>d</w:t>
      </w:r>
      <w:proofErr w:type="spellEnd"/>
      <w:proofErr w:type="gramEnd"/>
      <w:r>
        <w:t xml:space="preserve"> by the supplier of the product.</w:t>
      </w:r>
    </w:p>
    <w:p w:rsidR="00FA4D22" w:rsidRDefault="00FA4D22" w:rsidP="00FA4D22">
      <w:pPr>
        <w:pStyle w:val="Heading4"/>
      </w:pPr>
      <w:r>
        <w:t>Solar contribution factors (II and III)</w:t>
      </w:r>
    </w:p>
    <w:p w:rsidR="00FA4D22" w:rsidRDefault="00FA4D22" w:rsidP="00FA4D22">
      <w:r>
        <w:t>Elements II and III are calculated as follows:</w:t>
      </w:r>
    </w:p>
    <w:p w:rsidR="00FA4D22" w:rsidRPr="00A60D3A" w:rsidRDefault="00A60D3A" w:rsidP="007319ED">
      <w:pPr>
        <w:jc w:val="center"/>
      </w:pPr>
      <m:oMathPara>
        <m:oMath>
          <m:r>
            <w:rPr>
              <w:rFonts w:ascii="Cambria Math" w:hAnsi="Cambria Math"/>
            </w:rPr>
            <w:lastRenderedPageBreak/>
            <m:t>II=</m:t>
          </m:r>
          <m:f>
            <m:fPr>
              <m:ctrlPr>
                <w:rPr>
                  <w:rFonts w:ascii="Cambria Math" w:hAnsi="Cambria Math"/>
                  <w:i/>
                </w:rPr>
              </m:ctrlPr>
            </m:fPr>
            <m:num>
              <m:r>
                <w:rPr>
                  <w:rFonts w:ascii="Cambria Math" w:hAnsi="Cambria Math"/>
                </w:rPr>
                <m:t>220·</m:t>
              </m:r>
              <m:sSub>
                <m:sSubPr>
                  <m:ctrlPr>
                    <w:rPr>
                      <w:rFonts w:ascii="Cambria Math" w:eastAsia="Batang" w:hAnsi="Cambria Math"/>
                      <w:i/>
                    </w:rPr>
                  </m:ctrlPr>
                </m:sSubPr>
                <m:e>
                  <m:r>
                    <w:rPr>
                      <w:rFonts w:ascii="Cambria Math" w:hAnsi="Cambria Math"/>
                    </w:rPr>
                    <m:t>Q</m:t>
                  </m:r>
                </m:e>
                <m:sub>
                  <m:r>
                    <w:rPr>
                      <w:rFonts w:ascii="Cambria Math" w:hAnsi="Cambria Math"/>
                    </w:rPr>
                    <m:t>ref</m:t>
                  </m:r>
                </m:sub>
              </m:sSub>
            </m:num>
            <m:den>
              <m:sSub>
                <m:sSubPr>
                  <m:ctrlPr>
                    <w:rPr>
                      <w:rFonts w:ascii="Cambria Math" w:eastAsia="Batang" w:hAnsi="Cambria Math"/>
                      <w:i/>
                    </w:rPr>
                  </m:ctrlPr>
                </m:sSubPr>
                <m:e>
                  <m:r>
                    <w:rPr>
                      <w:rFonts w:ascii="Cambria Math" w:hAnsi="Cambria Math"/>
                    </w:rPr>
                    <m:t>Q</m:t>
                  </m:r>
                </m:e>
                <m:sub>
                  <m:r>
                    <w:rPr>
                      <w:rFonts w:ascii="Cambria Math" w:hAnsi="Cambria Math"/>
                    </w:rPr>
                    <m:t>nonsol</m:t>
                  </m:r>
                </m:sub>
              </m:sSub>
            </m:den>
          </m:f>
        </m:oMath>
      </m:oMathPara>
    </w:p>
    <w:p w:rsidR="00FA4D22" w:rsidRPr="00A60D3A" w:rsidRDefault="00A60D3A" w:rsidP="007319ED">
      <w:pPr>
        <w:jc w:val="center"/>
      </w:pPr>
      <m:oMathPara>
        <m:oMath>
          <m:r>
            <w:rPr>
              <w:rFonts w:ascii="Cambria Math" w:hAnsi="Cambria Math"/>
            </w:rPr>
            <m:t>III=</m:t>
          </m:r>
          <m:f>
            <m:fPr>
              <m:ctrlPr>
                <w:rPr>
                  <w:rFonts w:ascii="Cambria Math" w:hAnsi="Cambria Math"/>
                  <w:i/>
                </w:rPr>
              </m:ctrlPr>
            </m:fPr>
            <m:num>
              <m:sSub>
                <m:sSubPr>
                  <m:ctrlPr>
                    <w:rPr>
                      <w:rFonts w:ascii="Cambria Math" w:eastAsia="Batang" w:hAnsi="Cambria Math"/>
                      <w:i/>
                    </w:rPr>
                  </m:ctrlPr>
                </m:sSubPr>
                <m:e>
                  <m:r>
                    <w:rPr>
                      <w:rFonts w:ascii="Cambria Math" w:hAnsi="Cambria Math"/>
                    </w:rPr>
                    <m:t>Q</m:t>
                  </m:r>
                </m:e>
                <m:sub>
                  <m:r>
                    <w:rPr>
                      <w:rFonts w:ascii="Cambria Math" w:hAnsi="Cambria Math"/>
                    </w:rPr>
                    <m:t>aux</m:t>
                  </m:r>
                </m:sub>
              </m:sSub>
              <m:r>
                <w:rPr>
                  <w:rFonts w:ascii="Cambria Math" w:hAnsi="Cambria Math"/>
                </w:rPr>
                <m:t>·2.5</m:t>
              </m:r>
            </m:num>
            <m:den>
              <m:r>
                <w:rPr>
                  <w:rFonts w:ascii="Cambria Math" w:hAnsi="Cambria Math"/>
                </w:rPr>
                <m:t>220·</m:t>
              </m:r>
              <m:sSub>
                <m:sSubPr>
                  <m:ctrlPr>
                    <w:rPr>
                      <w:rFonts w:ascii="Cambria Math" w:hAnsi="Cambria Math"/>
                      <w:i/>
                    </w:rPr>
                  </m:ctrlPr>
                </m:sSubPr>
                <m:e>
                  <m:r>
                    <w:rPr>
                      <w:rFonts w:ascii="Cambria Math" w:hAnsi="Cambria Math"/>
                    </w:rPr>
                    <m:t>Q</m:t>
                  </m:r>
                </m:e>
                <m:sub>
                  <m:r>
                    <w:rPr>
                      <w:rFonts w:ascii="Cambria Math" w:hAnsi="Cambria Math"/>
                    </w:rPr>
                    <m:t>ref</m:t>
                  </m:r>
                </m:sub>
              </m:sSub>
            </m:den>
          </m:f>
        </m:oMath>
      </m:oMathPara>
    </w:p>
    <w:p w:rsidR="00FA4D22" w:rsidRDefault="00FA4D22" w:rsidP="00FA4D22">
      <w:proofErr w:type="spellStart"/>
      <w:r>
        <w:t>Q</w:t>
      </w:r>
      <w:r w:rsidRPr="003E118A">
        <w:rPr>
          <w:vertAlign w:val="subscript"/>
        </w:rPr>
        <w:t>ref</w:t>
      </w:r>
      <w:proofErr w:type="spellEnd"/>
      <w:r>
        <w:t xml:space="preserve"> depends on the declared load profile.</w:t>
      </w:r>
    </w:p>
    <w:tbl>
      <w:tblPr>
        <w:tblW w:w="5000" w:type="pct"/>
        <w:tblBorders>
          <w:insideH w:val="single" w:sz="4" w:space="0" w:color="auto"/>
        </w:tblBorders>
        <w:tblLook w:val="04A0" w:firstRow="1" w:lastRow="0" w:firstColumn="1" w:lastColumn="0" w:noHBand="0" w:noVBand="1"/>
      </w:tblPr>
      <w:tblGrid>
        <w:gridCol w:w="1681"/>
        <w:gridCol w:w="1681"/>
        <w:gridCol w:w="1796"/>
        <w:gridCol w:w="1682"/>
        <w:gridCol w:w="1682"/>
      </w:tblGrid>
      <w:tr w:rsidR="00FA4D22" w:rsidTr="00687707">
        <w:tc>
          <w:tcPr>
            <w:tcW w:w="986" w:type="pct"/>
            <w:shd w:val="clear" w:color="auto" w:fill="auto"/>
            <w:vAlign w:val="center"/>
          </w:tcPr>
          <w:p w:rsidR="00FA4D22" w:rsidRPr="00687707" w:rsidRDefault="00FA4D22" w:rsidP="00687707">
            <w:pPr>
              <w:spacing w:before="0" w:after="0"/>
              <w:jc w:val="center"/>
              <w:rPr>
                <w:rFonts w:eastAsia="Calibri"/>
                <w:iCs/>
                <w:color w:val="000000"/>
                <w:sz w:val="20"/>
                <w:szCs w:val="20"/>
              </w:rPr>
            </w:pPr>
          </w:p>
        </w:tc>
        <w:tc>
          <w:tcPr>
            <w:tcW w:w="986" w:type="pct"/>
            <w:shd w:val="clear" w:color="auto" w:fill="auto"/>
            <w:vAlign w:val="center"/>
          </w:tcPr>
          <w:p w:rsidR="00FA4D22" w:rsidRPr="00687707" w:rsidRDefault="00FA4D22" w:rsidP="00687707">
            <w:pPr>
              <w:spacing w:before="0" w:after="0"/>
              <w:jc w:val="center"/>
              <w:rPr>
                <w:rFonts w:eastAsia="Calibri"/>
                <w:iCs/>
                <w:color w:val="000000"/>
                <w:sz w:val="20"/>
                <w:szCs w:val="20"/>
              </w:rPr>
            </w:pPr>
            <w:r w:rsidRPr="00687707">
              <w:rPr>
                <w:rFonts w:eastAsia="Calibri"/>
                <w:sz w:val="20"/>
                <w:szCs w:val="20"/>
              </w:rPr>
              <w:t>M</w:t>
            </w:r>
          </w:p>
        </w:tc>
        <w:tc>
          <w:tcPr>
            <w:tcW w:w="1054" w:type="pct"/>
            <w:shd w:val="clear" w:color="auto" w:fill="auto"/>
            <w:vAlign w:val="center"/>
          </w:tcPr>
          <w:p w:rsidR="00FA4D22" w:rsidRPr="00687707" w:rsidRDefault="00FA4D22" w:rsidP="00687707">
            <w:pPr>
              <w:spacing w:before="0" w:after="0"/>
              <w:jc w:val="center"/>
              <w:rPr>
                <w:rFonts w:eastAsia="Calibri"/>
                <w:iCs/>
                <w:color w:val="000000"/>
                <w:sz w:val="20"/>
                <w:szCs w:val="20"/>
              </w:rPr>
            </w:pPr>
            <w:r w:rsidRPr="00687707">
              <w:rPr>
                <w:rFonts w:eastAsia="Calibri"/>
                <w:sz w:val="20"/>
                <w:szCs w:val="20"/>
              </w:rPr>
              <w:t>L</w:t>
            </w:r>
          </w:p>
        </w:tc>
        <w:tc>
          <w:tcPr>
            <w:tcW w:w="987" w:type="pct"/>
            <w:shd w:val="clear" w:color="auto" w:fill="auto"/>
            <w:vAlign w:val="center"/>
          </w:tcPr>
          <w:p w:rsidR="00FA4D22" w:rsidRPr="00687707" w:rsidRDefault="00FA4D22" w:rsidP="00687707">
            <w:pPr>
              <w:spacing w:before="0" w:after="0"/>
              <w:jc w:val="center"/>
              <w:rPr>
                <w:rFonts w:eastAsia="Calibri"/>
                <w:iCs/>
                <w:color w:val="000000"/>
                <w:sz w:val="20"/>
                <w:szCs w:val="20"/>
              </w:rPr>
            </w:pPr>
            <w:r w:rsidRPr="00687707">
              <w:rPr>
                <w:rFonts w:eastAsia="Calibri"/>
                <w:sz w:val="20"/>
                <w:szCs w:val="20"/>
              </w:rPr>
              <w:t>XL</w:t>
            </w:r>
          </w:p>
        </w:tc>
        <w:tc>
          <w:tcPr>
            <w:tcW w:w="987" w:type="pct"/>
            <w:shd w:val="clear" w:color="auto" w:fill="auto"/>
            <w:vAlign w:val="center"/>
          </w:tcPr>
          <w:p w:rsidR="00FA4D22" w:rsidRPr="00687707" w:rsidRDefault="00FA4D22" w:rsidP="00687707">
            <w:pPr>
              <w:spacing w:before="0" w:after="0"/>
              <w:jc w:val="center"/>
              <w:rPr>
                <w:rFonts w:eastAsia="Calibri"/>
                <w:iCs/>
                <w:color w:val="000000"/>
                <w:sz w:val="20"/>
                <w:szCs w:val="20"/>
              </w:rPr>
            </w:pPr>
            <w:r w:rsidRPr="00687707">
              <w:rPr>
                <w:rFonts w:eastAsia="Calibri"/>
                <w:sz w:val="20"/>
                <w:szCs w:val="20"/>
              </w:rPr>
              <w:t>XXL</w:t>
            </w:r>
          </w:p>
        </w:tc>
      </w:tr>
      <w:tr w:rsidR="00FA4D22" w:rsidTr="00687707">
        <w:tc>
          <w:tcPr>
            <w:tcW w:w="986" w:type="pct"/>
            <w:shd w:val="clear" w:color="auto" w:fill="auto"/>
            <w:vAlign w:val="center"/>
          </w:tcPr>
          <w:p w:rsidR="00FA4D22" w:rsidRPr="00687707" w:rsidRDefault="00FA4D22" w:rsidP="00687707">
            <w:pPr>
              <w:spacing w:before="0" w:after="0"/>
              <w:jc w:val="center"/>
              <w:rPr>
                <w:rFonts w:eastAsia="Calibri"/>
                <w:iCs/>
                <w:color w:val="000000"/>
                <w:sz w:val="20"/>
                <w:szCs w:val="20"/>
              </w:rPr>
            </w:pPr>
            <w:proofErr w:type="spellStart"/>
            <w:r w:rsidRPr="00687707">
              <w:rPr>
                <w:rFonts w:eastAsia="Calibri"/>
                <w:iCs/>
                <w:color w:val="000000"/>
                <w:sz w:val="20"/>
                <w:szCs w:val="20"/>
              </w:rPr>
              <w:t>Q</w:t>
            </w:r>
            <w:r w:rsidRPr="00687707">
              <w:rPr>
                <w:rFonts w:eastAsia="Calibri"/>
                <w:iCs/>
                <w:color w:val="000000"/>
                <w:sz w:val="20"/>
                <w:szCs w:val="20"/>
                <w:vertAlign w:val="subscript"/>
              </w:rPr>
              <w:t>ref</w:t>
            </w:r>
            <w:proofErr w:type="spellEnd"/>
          </w:p>
        </w:tc>
        <w:tc>
          <w:tcPr>
            <w:tcW w:w="986" w:type="pct"/>
            <w:shd w:val="clear" w:color="auto" w:fill="auto"/>
            <w:vAlign w:val="center"/>
          </w:tcPr>
          <w:p w:rsidR="00FA4D22" w:rsidRPr="00687707" w:rsidRDefault="00FA4D22" w:rsidP="00687707">
            <w:pPr>
              <w:spacing w:before="0" w:after="0"/>
              <w:jc w:val="center"/>
              <w:rPr>
                <w:rFonts w:eastAsia="Calibri"/>
                <w:iCs/>
                <w:color w:val="000000"/>
                <w:sz w:val="20"/>
                <w:szCs w:val="20"/>
              </w:rPr>
            </w:pPr>
            <w:r w:rsidRPr="00687707">
              <w:rPr>
                <w:rFonts w:eastAsia="Calibri"/>
                <w:sz w:val="20"/>
                <w:szCs w:val="20"/>
              </w:rPr>
              <w:t>5,845</w:t>
            </w:r>
          </w:p>
        </w:tc>
        <w:tc>
          <w:tcPr>
            <w:tcW w:w="1054" w:type="pct"/>
            <w:shd w:val="clear" w:color="auto" w:fill="auto"/>
            <w:vAlign w:val="center"/>
          </w:tcPr>
          <w:p w:rsidR="00FA4D22" w:rsidRPr="00687707" w:rsidRDefault="00FA4D22" w:rsidP="00687707">
            <w:pPr>
              <w:spacing w:before="0" w:after="0"/>
              <w:jc w:val="center"/>
              <w:rPr>
                <w:rFonts w:eastAsia="Calibri"/>
                <w:iCs/>
                <w:color w:val="000000"/>
                <w:sz w:val="20"/>
                <w:szCs w:val="20"/>
              </w:rPr>
            </w:pPr>
            <w:r w:rsidRPr="00687707">
              <w:rPr>
                <w:rFonts w:eastAsia="Calibri"/>
                <w:sz w:val="20"/>
                <w:szCs w:val="20"/>
              </w:rPr>
              <w:t>11,655</w:t>
            </w:r>
          </w:p>
        </w:tc>
        <w:tc>
          <w:tcPr>
            <w:tcW w:w="987" w:type="pct"/>
            <w:shd w:val="clear" w:color="auto" w:fill="auto"/>
            <w:vAlign w:val="center"/>
          </w:tcPr>
          <w:p w:rsidR="00FA4D22" w:rsidRPr="00687707" w:rsidRDefault="00FA4D22" w:rsidP="00687707">
            <w:pPr>
              <w:spacing w:before="0" w:after="0"/>
              <w:jc w:val="center"/>
              <w:rPr>
                <w:rFonts w:eastAsia="Calibri"/>
                <w:iCs/>
                <w:color w:val="000000"/>
                <w:sz w:val="20"/>
                <w:szCs w:val="20"/>
              </w:rPr>
            </w:pPr>
            <w:r w:rsidRPr="00687707">
              <w:rPr>
                <w:rFonts w:eastAsia="Calibri"/>
                <w:sz w:val="20"/>
                <w:szCs w:val="20"/>
              </w:rPr>
              <w:t>19,07</w:t>
            </w:r>
          </w:p>
        </w:tc>
        <w:tc>
          <w:tcPr>
            <w:tcW w:w="987" w:type="pct"/>
            <w:shd w:val="clear" w:color="auto" w:fill="auto"/>
            <w:vAlign w:val="center"/>
          </w:tcPr>
          <w:p w:rsidR="00FA4D22" w:rsidRPr="00687707" w:rsidRDefault="00FA4D22" w:rsidP="00687707">
            <w:pPr>
              <w:spacing w:before="0" w:after="0"/>
              <w:jc w:val="center"/>
              <w:rPr>
                <w:rFonts w:eastAsia="Calibri"/>
                <w:iCs/>
                <w:color w:val="000000"/>
                <w:sz w:val="20"/>
                <w:szCs w:val="20"/>
              </w:rPr>
            </w:pPr>
            <w:r w:rsidRPr="00687707">
              <w:rPr>
                <w:rFonts w:eastAsia="Calibri"/>
                <w:sz w:val="20"/>
                <w:szCs w:val="20"/>
              </w:rPr>
              <w:t>24,53</w:t>
            </w:r>
          </w:p>
        </w:tc>
      </w:tr>
    </w:tbl>
    <w:p w:rsidR="00FA4D22" w:rsidRPr="00D7572B" w:rsidRDefault="00FA4D22" w:rsidP="00FA4D22">
      <w:proofErr w:type="spellStart"/>
      <w:r>
        <w:t>Q</w:t>
      </w:r>
      <w:r w:rsidRPr="003E118A">
        <w:rPr>
          <w:vertAlign w:val="subscript"/>
        </w:rPr>
        <w:t>nonsol</w:t>
      </w:r>
      <w:proofErr w:type="spellEnd"/>
      <w:r>
        <w:t xml:space="preserve"> and </w:t>
      </w:r>
      <w:proofErr w:type="spellStart"/>
      <w:r>
        <w:t>Q</w:t>
      </w:r>
      <w:r w:rsidRPr="003E118A">
        <w:rPr>
          <w:vertAlign w:val="subscript"/>
        </w:rPr>
        <w:t>aux</w:t>
      </w:r>
      <w:proofErr w:type="spellEnd"/>
      <w:r>
        <w:t xml:space="preserve"> are to be found on the product fiche of the solar device.</w:t>
      </w:r>
    </w:p>
    <w:p w:rsidR="0082198C" w:rsidRPr="0082198C" w:rsidRDefault="0082198C" w:rsidP="0082198C">
      <w:pPr>
        <w:rPr>
          <w:i/>
          <w:sz w:val="20"/>
          <w:szCs w:val="20"/>
        </w:rPr>
      </w:pPr>
      <w:r>
        <w:rPr>
          <w:i/>
          <w:sz w:val="20"/>
          <w:szCs w:val="20"/>
        </w:rPr>
        <w:br w:type="page"/>
      </w:r>
      <w:r w:rsidR="00FA4D22" w:rsidRPr="0082198C">
        <w:rPr>
          <w:i/>
          <w:sz w:val="20"/>
          <w:szCs w:val="20"/>
        </w:rPr>
        <w:lastRenderedPageBreak/>
        <w:t xml:space="preserve">Figure 1 (811/2013): Calculation scheme for preferential boiler heaters (space heating energy </w:t>
      </w:r>
      <w:r w:rsidR="00A60D3A">
        <w:rPr>
          <w:i/>
          <w:noProof/>
          <w:sz w:val="20"/>
          <w:szCs w:val="20"/>
          <w:lang w:val="es-ES" w:eastAsia="es-ES"/>
        </w:rPr>
        <w:drawing>
          <wp:anchor distT="0" distB="0" distL="114300" distR="114300" simplePos="0" relativeHeight="251655168" behindDoc="0" locked="0" layoutInCell="1" allowOverlap="1" wp14:anchorId="32C9C12D" wp14:editId="0104A289">
            <wp:simplePos x="0" y="0"/>
            <wp:positionH relativeFrom="column">
              <wp:posOffset>219075</wp:posOffset>
            </wp:positionH>
            <wp:positionV relativeFrom="paragraph">
              <wp:posOffset>677545</wp:posOffset>
            </wp:positionV>
            <wp:extent cx="5028565" cy="6953250"/>
            <wp:effectExtent l="0" t="0" r="635" b="0"/>
            <wp:wrapTopAndBottom/>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l="5286" t="992" r="1762" b="10460"/>
                    <a:stretch>
                      <a:fillRect/>
                    </a:stretch>
                  </pic:blipFill>
                  <pic:spPr bwMode="auto">
                    <a:xfrm>
                      <a:off x="0" y="0"/>
                      <a:ext cx="5028565" cy="6953250"/>
                    </a:xfrm>
                    <a:prstGeom prst="rect">
                      <a:avLst/>
                    </a:prstGeom>
                    <a:noFill/>
                  </pic:spPr>
                </pic:pic>
              </a:graphicData>
            </a:graphic>
            <wp14:sizeRelH relativeFrom="page">
              <wp14:pctWidth>0</wp14:pctWidth>
            </wp14:sizeRelH>
            <wp14:sizeRelV relativeFrom="page">
              <wp14:pctHeight>0</wp14:pctHeight>
            </wp14:sizeRelV>
          </wp:anchor>
        </w:drawing>
      </w:r>
      <w:r w:rsidR="00FA4D22" w:rsidRPr="0082198C">
        <w:rPr>
          <w:i/>
          <w:sz w:val="20"/>
          <w:szCs w:val="20"/>
        </w:rPr>
        <w:t>efficiency</w:t>
      </w:r>
      <w:proofErr w:type="gramStart"/>
      <w:r w:rsidR="00FA4D22" w:rsidRPr="0082198C">
        <w:rPr>
          <w:i/>
          <w:sz w:val="20"/>
          <w:szCs w:val="20"/>
        </w:rPr>
        <w:t>)</w:t>
      </w:r>
      <w:proofErr w:type="gramEnd"/>
      <w:r w:rsidR="00FA4D22" w:rsidRPr="0082198C">
        <w:rPr>
          <w:i/>
          <w:sz w:val="20"/>
          <w:szCs w:val="20"/>
        </w:rPr>
        <w:br w:type="page"/>
      </w:r>
      <w:r w:rsidRPr="0082198C">
        <w:rPr>
          <w:i/>
          <w:sz w:val="20"/>
          <w:szCs w:val="20"/>
        </w:rPr>
        <w:lastRenderedPageBreak/>
        <w:t xml:space="preserve">Figure 2 (811/2013): Calculation scheme for preferential cogeneration space heaters (space heating </w:t>
      </w:r>
      <w:r w:rsidR="00A60D3A">
        <w:rPr>
          <w:noProof/>
          <w:lang w:val="es-ES" w:eastAsia="es-ES"/>
        </w:rPr>
        <w:drawing>
          <wp:anchor distT="0" distB="0" distL="114300" distR="114300" simplePos="0" relativeHeight="251656192" behindDoc="0" locked="0" layoutInCell="1" allowOverlap="1" wp14:anchorId="43352EA3" wp14:editId="6A4B05E5">
            <wp:simplePos x="0" y="0"/>
            <wp:positionH relativeFrom="column">
              <wp:align>center</wp:align>
            </wp:positionH>
            <wp:positionV relativeFrom="paragraph">
              <wp:posOffset>368300</wp:posOffset>
            </wp:positionV>
            <wp:extent cx="5715000" cy="54698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l="4846" t="4234" r="2643" b="14717"/>
                    <a:stretch>
                      <a:fillRect/>
                    </a:stretch>
                  </pic:blipFill>
                  <pic:spPr bwMode="auto">
                    <a:xfrm>
                      <a:off x="0" y="0"/>
                      <a:ext cx="5715000" cy="5469890"/>
                    </a:xfrm>
                    <a:prstGeom prst="rect">
                      <a:avLst/>
                    </a:prstGeom>
                    <a:noFill/>
                  </pic:spPr>
                </pic:pic>
              </a:graphicData>
            </a:graphic>
            <wp14:sizeRelH relativeFrom="page">
              <wp14:pctWidth>0</wp14:pctWidth>
            </wp14:sizeRelH>
            <wp14:sizeRelV relativeFrom="page">
              <wp14:pctHeight>0</wp14:pctHeight>
            </wp14:sizeRelV>
          </wp:anchor>
        </w:drawing>
      </w:r>
      <w:r w:rsidRPr="0082198C">
        <w:rPr>
          <w:i/>
          <w:sz w:val="20"/>
          <w:szCs w:val="20"/>
        </w:rPr>
        <w:t>energy efficiency)</w:t>
      </w:r>
    </w:p>
    <w:p w:rsidR="00FA4D22" w:rsidRDefault="00FA4D22" w:rsidP="0082198C"/>
    <w:p w:rsidR="00FA4D22" w:rsidRDefault="00FA4D22" w:rsidP="00FA4D22">
      <w:pPr>
        <w:spacing w:after="200" w:line="276" w:lineRule="auto"/>
      </w:pPr>
    </w:p>
    <w:p w:rsidR="00FA4D22" w:rsidRPr="0082198C" w:rsidRDefault="0082198C" w:rsidP="0082198C">
      <w:pPr>
        <w:spacing w:after="200" w:line="276" w:lineRule="auto"/>
        <w:rPr>
          <w:i/>
          <w:sz w:val="20"/>
          <w:szCs w:val="20"/>
        </w:rPr>
      </w:pPr>
      <w:r>
        <w:br w:type="page"/>
      </w:r>
      <w:r w:rsidR="00FA4D22" w:rsidRPr="0082198C">
        <w:rPr>
          <w:i/>
          <w:sz w:val="20"/>
          <w:szCs w:val="20"/>
        </w:rPr>
        <w:lastRenderedPageBreak/>
        <w:t>Figure 3 (811/2013): Calculation scheme for preferential heat pump heaters (space heating energy efficiency)</w:t>
      </w:r>
    </w:p>
    <w:p w:rsidR="00FA4D22" w:rsidRDefault="00A60D3A" w:rsidP="00FA4D22">
      <w:pPr>
        <w:spacing w:after="200" w:line="276" w:lineRule="auto"/>
      </w:pPr>
      <w:r>
        <w:rPr>
          <w:noProof/>
          <w:lang w:val="es-ES" w:eastAsia="es-ES"/>
        </w:rPr>
        <w:drawing>
          <wp:anchor distT="0" distB="0" distL="114300" distR="114300" simplePos="0" relativeHeight="251659264" behindDoc="0" locked="0" layoutInCell="1" allowOverlap="1" wp14:anchorId="5B2E047F" wp14:editId="0F6F61F8">
            <wp:simplePos x="0" y="0"/>
            <wp:positionH relativeFrom="column">
              <wp:posOffset>-50800</wp:posOffset>
            </wp:positionH>
            <wp:positionV relativeFrom="paragraph">
              <wp:posOffset>76835</wp:posOffset>
            </wp:positionV>
            <wp:extent cx="5715000" cy="6697345"/>
            <wp:effectExtent l="0" t="0" r="0" b="825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l="6387" r="1321" b="21565"/>
                    <a:stretch>
                      <a:fillRect/>
                    </a:stretch>
                  </pic:blipFill>
                  <pic:spPr bwMode="auto">
                    <a:xfrm>
                      <a:off x="0" y="0"/>
                      <a:ext cx="5715000" cy="6697345"/>
                    </a:xfrm>
                    <a:prstGeom prst="rect">
                      <a:avLst/>
                    </a:prstGeom>
                    <a:noFill/>
                  </pic:spPr>
                </pic:pic>
              </a:graphicData>
            </a:graphic>
            <wp14:sizeRelH relativeFrom="page">
              <wp14:pctWidth>0</wp14:pctWidth>
            </wp14:sizeRelH>
            <wp14:sizeRelV relativeFrom="page">
              <wp14:pctHeight>0</wp14:pctHeight>
            </wp14:sizeRelV>
          </wp:anchor>
        </w:drawing>
      </w:r>
      <w:r w:rsidR="00FD1A0A">
        <w:br w:type="page"/>
      </w:r>
    </w:p>
    <w:p w:rsidR="00FA4D22" w:rsidRPr="0082198C" w:rsidRDefault="00A60D3A" w:rsidP="00FA4D22">
      <w:pPr>
        <w:rPr>
          <w:i/>
          <w:sz w:val="20"/>
          <w:szCs w:val="20"/>
        </w:rPr>
      </w:pPr>
      <w:r>
        <w:rPr>
          <w:noProof/>
          <w:lang w:val="es-ES" w:eastAsia="es-ES"/>
        </w:rPr>
        <w:lastRenderedPageBreak/>
        <w:drawing>
          <wp:anchor distT="0" distB="0" distL="114300" distR="114300" simplePos="0" relativeHeight="251658240" behindDoc="0" locked="0" layoutInCell="1" allowOverlap="1" wp14:anchorId="3F0E14CD" wp14:editId="1A40CEAC">
            <wp:simplePos x="0" y="0"/>
            <wp:positionH relativeFrom="column">
              <wp:align>center</wp:align>
            </wp:positionH>
            <wp:positionV relativeFrom="paragraph">
              <wp:posOffset>588645</wp:posOffset>
            </wp:positionV>
            <wp:extent cx="5715000" cy="6776720"/>
            <wp:effectExtent l="0" t="0" r="0" b="508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l="5948" t="3770" r="1541" b="21117"/>
                    <a:stretch>
                      <a:fillRect/>
                    </a:stretch>
                  </pic:blipFill>
                  <pic:spPr bwMode="auto">
                    <a:xfrm>
                      <a:off x="0" y="0"/>
                      <a:ext cx="5715000" cy="6776720"/>
                    </a:xfrm>
                    <a:prstGeom prst="rect">
                      <a:avLst/>
                    </a:prstGeom>
                    <a:noFill/>
                  </pic:spPr>
                </pic:pic>
              </a:graphicData>
            </a:graphic>
            <wp14:sizeRelH relativeFrom="page">
              <wp14:pctWidth>0</wp14:pctWidth>
            </wp14:sizeRelH>
            <wp14:sizeRelV relativeFrom="page">
              <wp14:pctHeight>0</wp14:pctHeight>
            </wp14:sizeRelV>
          </wp:anchor>
        </w:drawing>
      </w:r>
      <w:r w:rsidR="00FA4D22" w:rsidRPr="0082198C">
        <w:rPr>
          <w:i/>
          <w:sz w:val="20"/>
          <w:szCs w:val="20"/>
        </w:rPr>
        <w:t>Figure 4 (811/2013): Calculation scheme for preferential low-temperature heat pump heaters (space heating energy efficiency)</w:t>
      </w:r>
    </w:p>
    <w:p w:rsidR="00FA4D22" w:rsidRDefault="00FA4D22" w:rsidP="00FA4D22">
      <w:pPr>
        <w:spacing w:after="200" w:line="276" w:lineRule="auto"/>
      </w:pPr>
    </w:p>
    <w:p w:rsidR="00FA4D22" w:rsidRPr="0082198C" w:rsidRDefault="00FD1A0A" w:rsidP="00FD1A0A">
      <w:pPr>
        <w:spacing w:after="200" w:line="276" w:lineRule="auto"/>
        <w:rPr>
          <w:i/>
          <w:sz w:val="20"/>
          <w:szCs w:val="20"/>
        </w:rPr>
      </w:pPr>
      <w:r>
        <w:br w:type="page"/>
      </w:r>
      <w:r w:rsidR="00A60D3A">
        <w:rPr>
          <w:noProof/>
          <w:lang w:val="es-ES" w:eastAsia="es-ES"/>
        </w:rPr>
        <w:lastRenderedPageBreak/>
        <w:drawing>
          <wp:anchor distT="0" distB="0" distL="114300" distR="114300" simplePos="0" relativeHeight="251657216" behindDoc="0" locked="0" layoutInCell="1" allowOverlap="1" wp14:anchorId="434559ED" wp14:editId="5697B0D6">
            <wp:simplePos x="0" y="0"/>
            <wp:positionH relativeFrom="column">
              <wp:align>center</wp:align>
            </wp:positionH>
            <wp:positionV relativeFrom="paragraph">
              <wp:posOffset>586105</wp:posOffset>
            </wp:positionV>
            <wp:extent cx="5715000" cy="747649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l="4185" t="2623" r="2203" b="11574"/>
                    <a:stretch>
                      <a:fillRect/>
                    </a:stretch>
                  </pic:blipFill>
                  <pic:spPr bwMode="auto">
                    <a:xfrm>
                      <a:off x="0" y="0"/>
                      <a:ext cx="5715000" cy="7476490"/>
                    </a:xfrm>
                    <a:prstGeom prst="rect">
                      <a:avLst/>
                    </a:prstGeom>
                    <a:noFill/>
                  </pic:spPr>
                </pic:pic>
              </a:graphicData>
            </a:graphic>
            <wp14:sizeRelH relativeFrom="page">
              <wp14:pctWidth>0</wp14:pctWidth>
            </wp14:sizeRelH>
            <wp14:sizeRelV relativeFrom="page">
              <wp14:pctHeight>0</wp14:pctHeight>
            </wp14:sizeRelV>
          </wp:anchor>
        </w:drawing>
      </w:r>
      <w:r w:rsidR="00FA4D22" w:rsidRPr="0082198C">
        <w:rPr>
          <w:i/>
          <w:sz w:val="20"/>
          <w:szCs w:val="20"/>
        </w:rPr>
        <w:t>Figure 5 (811/2013): Calculation scheme for preferential boiler combination heaters (water heating energy efficiency)</w:t>
      </w:r>
    </w:p>
    <w:p w:rsidR="00FA4D22" w:rsidRDefault="00FA4D22" w:rsidP="00FA4D22">
      <w:pPr>
        <w:spacing w:after="200" w:line="276" w:lineRule="auto"/>
      </w:pPr>
    </w:p>
    <w:p w:rsidR="00AC37D8" w:rsidRPr="00214E26" w:rsidRDefault="00FA4D22" w:rsidP="00AC37D8">
      <w:pPr>
        <w:pStyle w:val="Heading2"/>
      </w:pPr>
      <w:bookmarkStart w:id="36" w:name="_Toc385484876"/>
      <w:r>
        <w:br w:type="page"/>
      </w:r>
      <w:bookmarkStart w:id="37" w:name="_Toc402443620"/>
      <w:r w:rsidR="00AC37D8" w:rsidRPr="00214E26">
        <w:lastRenderedPageBreak/>
        <w:t>Packages where not all information is available</w:t>
      </w:r>
      <w:bookmarkEnd w:id="37"/>
    </w:p>
    <w:p w:rsidR="00AC37D8" w:rsidRDefault="001E2EE3" w:rsidP="001E2EE3">
      <w:r w:rsidRPr="00214E26">
        <w:t>In the case of p</w:t>
      </w:r>
      <w:r w:rsidR="00AC37D8" w:rsidRPr="00214E26">
        <w:t xml:space="preserve">ackages providing domestic hot water </w:t>
      </w:r>
      <w:r w:rsidRPr="00214E26">
        <w:t>using</w:t>
      </w:r>
      <w:r w:rsidR="00AC37D8" w:rsidRPr="00214E26">
        <w:t xml:space="preserve"> a space heater the water heating energy efficiency might not be available, or might only be available for a combination of the space heater with a specific hot water storage tank.</w:t>
      </w:r>
    </w:p>
    <w:p w:rsidR="001E2EE3" w:rsidRPr="00214E26" w:rsidRDefault="001E2EE3" w:rsidP="00A60D3A">
      <w:r w:rsidRPr="00214E26">
        <w:t>In this case, the dealer would</w:t>
      </w:r>
      <w:r w:rsidR="00231974">
        <w:t xml:space="preserve"> </w:t>
      </w:r>
      <w:r w:rsidRPr="00214E26">
        <w:t>n</w:t>
      </w:r>
      <w:r w:rsidR="00231974">
        <w:t>o</w:t>
      </w:r>
      <w:r w:rsidRPr="00214E26">
        <w:t>t be able to provide the package label unless certain assumptions are made to estimate</w:t>
      </w:r>
      <w:r w:rsidR="00A60D3A" w:rsidRPr="00214E26">
        <w:t xml:space="preserve"> </w:t>
      </w:r>
      <w:proofErr w:type="spellStart"/>
      <w:r w:rsidR="00A60D3A" w:rsidRPr="00214E26">
        <w:t>η</w:t>
      </w:r>
      <w:r w:rsidR="00A60D3A" w:rsidRPr="00214E26">
        <w:rPr>
          <w:vertAlign w:val="subscript"/>
        </w:rPr>
        <w:t>wh</w:t>
      </w:r>
      <w:proofErr w:type="spellEnd"/>
      <w:r w:rsidR="00A60D3A" w:rsidRPr="00214E26">
        <w:t xml:space="preserve"> of </w:t>
      </w:r>
      <w:r w:rsidRPr="00214E26">
        <w:t xml:space="preserve">a </w:t>
      </w:r>
      <w:r w:rsidR="00A60D3A" w:rsidRPr="00214E26">
        <w:t>standard boilers used in solar packages</w:t>
      </w:r>
      <w:r w:rsidR="00841C08">
        <w:t>.</w:t>
      </w:r>
    </w:p>
    <w:p w:rsidR="00A60D3A" w:rsidRDefault="00841C08" w:rsidP="00A60D3A">
      <w:r>
        <w:t>T</w:t>
      </w:r>
      <w:r w:rsidR="00A60D3A" w:rsidRPr="00214E26">
        <w:t xml:space="preserve">he following </w:t>
      </w:r>
      <w:r>
        <w:t xml:space="preserve">calculation </w:t>
      </w:r>
      <w:r w:rsidR="00A60D3A" w:rsidRPr="00214E26">
        <w:t>method</w:t>
      </w:r>
      <w:r>
        <w:t xml:space="preserve"> is proposed</w:t>
      </w:r>
      <w:r w:rsidR="00A60D3A" w:rsidRPr="00214E26">
        <w:t>.</w:t>
      </w:r>
    </w:p>
    <w:p w:rsidR="00A60D3A" w:rsidRPr="002D02FC" w:rsidRDefault="009B2939" w:rsidP="00A60D3A">
      <m:oMathPara>
        <m:oMath>
          <m:sSub>
            <m:sSubPr>
              <m:ctrlPr>
                <w:rPr>
                  <w:rFonts w:ascii="Cambria Math" w:hAnsi="Cambria Math"/>
                  <w:i/>
                </w:rPr>
              </m:ctrlPr>
            </m:sSubPr>
            <m:e>
              <m:r>
                <w:rPr>
                  <w:rFonts w:ascii="Cambria Math" w:hAnsi="Cambria Math"/>
                </w:rPr>
                <m:t>η</m:t>
              </m:r>
            </m:e>
            <m:sub>
              <m:r>
                <w:rPr>
                  <w:rFonts w:ascii="Cambria Math" w:hAnsi="Cambria Math"/>
                </w:rPr>
                <m:t>wh_calc</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ref</m:t>
                  </m:r>
                </m:sub>
              </m:sSub>
            </m:num>
            <m:den>
              <m:sSub>
                <m:sSubPr>
                  <m:ctrlPr>
                    <w:rPr>
                      <w:rFonts w:ascii="Cambria Math" w:hAnsi="Cambria Math"/>
                      <w:i/>
                    </w:rPr>
                  </m:ctrlPr>
                </m:sSubPr>
                <m:e>
                  <m:r>
                    <w:rPr>
                      <w:rFonts w:ascii="Cambria Math" w:hAnsi="Cambria Math"/>
                    </w:rPr>
                    <m:t>Q</m:t>
                  </m:r>
                </m:e>
                <m:sub>
                  <m:r>
                    <w:rPr>
                      <w:rFonts w:ascii="Cambria Math" w:hAnsi="Cambria Math"/>
                    </w:rPr>
                    <m:t>fuel</m:t>
                  </m:r>
                </m:sub>
              </m:sSub>
              <m:r>
                <w:rPr>
                  <w:rFonts w:ascii="Cambria Math" w:hAnsi="Cambria Math"/>
                </w:rPr>
                <m:t>+CC·</m:t>
              </m:r>
              <m:sSub>
                <m:sSubPr>
                  <m:ctrlPr>
                    <w:rPr>
                      <w:rFonts w:ascii="Cambria Math" w:hAnsi="Cambria Math"/>
                      <w:i/>
                    </w:rPr>
                  </m:ctrlPr>
                </m:sSubPr>
                <m:e>
                  <m:r>
                    <w:rPr>
                      <w:rFonts w:ascii="Cambria Math" w:hAnsi="Cambria Math"/>
                    </w:rPr>
                    <m:t>Q</m:t>
                  </m:r>
                </m:e>
                <m:sub>
                  <m:r>
                    <w:rPr>
                      <w:rFonts w:ascii="Cambria Math" w:hAnsi="Cambria Math"/>
                    </w:rPr>
                    <m:t>elec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cor</m:t>
                  </m:r>
                </m:sub>
              </m:sSub>
            </m:den>
          </m:f>
        </m:oMath>
      </m:oMathPara>
    </w:p>
    <w:p w:rsidR="002D02FC" w:rsidRPr="002D02FC" w:rsidRDefault="009B2939" w:rsidP="00A60D3A">
      <m:oMathPara>
        <m:oMath>
          <m:sSub>
            <m:sSubPr>
              <m:ctrlPr>
                <w:rPr>
                  <w:rFonts w:ascii="Cambria Math" w:hAnsi="Cambria Math"/>
                  <w:i/>
                </w:rPr>
              </m:ctrlPr>
            </m:sSubPr>
            <m:e>
              <m:r>
                <w:rPr>
                  <w:rFonts w:ascii="Cambria Math" w:hAnsi="Cambria Math"/>
                </w:rPr>
                <m:t>Q</m:t>
              </m:r>
            </m:e>
            <m:sub>
              <m:r>
                <w:rPr>
                  <w:rFonts w:ascii="Cambria Math" w:hAnsi="Cambria Math"/>
                </w:rPr>
                <m:t>fuel</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ref</m:t>
                  </m:r>
                </m:sub>
              </m:sSub>
              <m:r>
                <w:rPr>
                  <w:rFonts w:ascii="Cambria Math" w:hAnsi="Cambria Math"/>
                </w:rPr>
                <m:t>+</m:t>
              </m:r>
              <m:d>
                <m:dPr>
                  <m:ctrlPr>
                    <w:rPr>
                      <w:rFonts w:ascii="Cambria Math" w:hAnsi="Cambria Math"/>
                      <w:i/>
                    </w:rPr>
                  </m:ctrlPr>
                </m:dPr>
                <m:e>
                  <m:r>
                    <w:rPr>
                      <w:rFonts w:ascii="Cambria Math" w:hAnsi="Cambria Math"/>
                    </w:rPr>
                    <m:t>24-</m:t>
                  </m:r>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ref</m:t>
                          </m:r>
                        </m:sub>
                      </m:sSub>
                    </m:num>
                    <m:den>
                      <m:sSub>
                        <m:sSubPr>
                          <m:ctrlPr>
                            <w:rPr>
                              <w:rFonts w:ascii="Cambria Math" w:hAnsi="Cambria Math"/>
                              <w:i/>
                            </w:rPr>
                          </m:ctrlPr>
                        </m:sSubPr>
                        <m:e>
                          <m:r>
                            <w:rPr>
                              <w:rFonts w:ascii="Cambria Math" w:hAnsi="Cambria Math"/>
                            </w:rPr>
                            <m:t>P</m:t>
                          </m:r>
                        </m:e>
                        <m:sub>
                          <m:r>
                            <w:rPr>
                              <w:rFonts w:ascii="Cambria Math" w:hAnsi="Cambria Math"/>
                            </w:rPr>
                            <m:t>4</m:t>
                          </m:r>
                        </m:sub>
                      </m:sSub>
                    </m:den>
                  </m:f>
                </m:e>
              </m:d>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stby</m:t>
                  </m:r>
                </m:sub>
              </m:sSub>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100</m:t>
                  </m:r>
                </m:num>
                <m:den>
                  <m:sSub>
                    <m:sSubPr>
                      <m:ctrlPr>
                        <w:rPr>
                          <w:rFonts w:ascii="Cambria Math" w:hAnsi="Cambria Math"/>
                          <w:i/>
                        </w:rPr>
                      </m:ctrlPr>
                    </m:sSubPr>
                    <m:e>
                      <m:r>
                        <w:rPr>
                          <w:rFonts w:ascii="Cambria Math" w:hAnsi="Cambria Math"/>
                        </w:rPr>
                        <m:t>η</m:t>
                      </m:r>
                    </m:e>
                    <m:sub>
                      <m:r>
                        <w:rPr>
                          <w:rFonts w:ascii="Cambria Math" w:hAnsi="Cambria Math"/>
                        </w:rPr>
                        <m:t>4</m:t>
                      </m:r>
                    </m:sub>
                  </m:sSub>
                </m:den>
              </m:f>
            </m:e>
          </m:d>
        </m:oMath>
      </m:oMathPara>
    </w:p>
    <w:p w:rsidR="002D02FC" w:rsidRPr="002D02FC" w:rsidRDefault="009B2939" w:rsidP="00A60D3A">
      <m:oMathPara>
        <m:oMath>
          <m:sSub>
            <m:sSubPr>
              <m:ctrlPr>
                <w:rPr>
                  <w:rFonts w:ascii="Cambria Math" w:hAnsi="Cambria Math"/>
                  <w:i/>
                </w:rPr>
              </m:ctrlPr>
            </m:sSubPr>
            <m:e>
              <m:r>
                <w:rPr>
                  <w:rFonts w:ascii="Cambria Math" w:hAnsi="Cambria Math"/>
                </w:rPr>
                <m:t>Q</m:t>
              </m:r>
            </m:e>
            <m:sub>
              <m:r>
                <w:rPr>
                  <w:rFonts w:ascii="Cambria Math" w:hAnsi="Cambria Math"/>
                </w:rPr>
                <m:t>elec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elec,on</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elec,stby</m:t>
              </m:r>
            </m:sub>
          </m:sSub>
          <m:r>
            <w:rPr>
              <w:rFonts w:ascii="Cambria Math" w:hAnsi="Cambria Math"/>
            </w:rPr>
            <m:t>=</m:t>
          </m:r>
          <m:d>
            <m:dPr>
              <m:ctrlPr>
                <w:rPr>
                  <w:rFonts w:ascii="Cambria Math" w:hAnsi="Cambria Math"/>
                  <w:i/>
                </w:rPr>
              </m:ctrlPr>
            </m:dPr>
            <m:e>
              <m:r>
                <w:rPr>
                  <w:rFonts w:ascii="Cambria Math" w:hAnsi="Cambria Math"/>
                </w:rPr>
                <m:t>24-ton</m:t>
              </m:r>
            </m:e>
          </m:d>
          <m:r>
            <w:rPr>
              <w:rFonts w:ascii="Cambria Math" w:hAnsi="Cambria Math"/>
            </w:rPr>
            <m:t>·PSB+ton·</m:t>
          </m:r>
          <m:sSub>
            <m:sSubPr>
              <m:ctrlPr>
                <w:rPr>
                  <w:rFonts w:ascii="Cambria Math" w:hAnsi="Cambria Math"/>
                  <w:i/>
                </w:rPr>
              </m:ctrlPr>
            </m:sSubPr>
            <m:e>
              <m:r>
                <w:rPr>
                  <w:rFonts w:ascii="Cambria Math" w:hAnsi="Cambria Math"/>
                </w:rPr>
                <m:t>el</m:t>
              </m:r>
            </m:e>
            <m:sub>
              <m:r>
                <w:rPr>
                  <w:rFonts w:ascii="Cambria Math" w:hAnsi="Cambria Math"/>
                </w:rPr>
                <m:t>max</m:t>
              </m:r>
            </m:sub>
          </m:sSub>
        </m:oMath>
      </m:oMathPara>
    </w:p>
    <w:p w:rsidR="002D02FC" w:rsidRPr="00406DCE" w:rsidRDefault="009B2939" w:rsidP="00A60D3A">
      <m:oMathPara>
        <m:oMath>
          <m:sSub>
            <m:sSubPr>
              <m:ctrlPr>
                <w:rPr>
                  <w:rFonts w:ascii="Cambria Math" w:hAnsi="Cambria Math"/>
                  <w:i/>
                </w:rPr>
              </m:ctrlPr>
            </m:sSubPr>
            <m:e>
              <m:r>
                <w:rPr>
                  <w:rFonts w:ascii="Cambria Math" w:hAnsi="Cambria Math"/>
                </w:rPr>
                <m:t>t</m:t>
              </m:r>
            </m:e>
            <m:sub>
              <m:r>
                <w:rPr>
                  <w:rFonts w:ascii="Cambria Math" w:hAnsi="Cambria Math"/>
                </w:rPr>
                <m:t>on</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ref</m:t>
                  </m:r>
                </m:sub>
              </m:sSub>
              <m:r>
                <w:rPr>
                  <w:rFonts w:ascii="Cambria Math" w:hAnsi="Cambria Math"/>
                </w:rPr>
                <m:t>+</m:t>
              </m:r>
              <m:d>
                <m:dPr>
                  <m:ctrlPr>
                    <w:rPr>
                      <w:rFonts w:ascii="Cambria Math" w:hAnsi="Cambria Math"/>
                      <w:i/>
                    </w:rPr>
                  </m:ctrlPr>
                </m:dPr>
                <m:e>
                  <m:r>
                    <w:rPr>
                      <w:rFonts w:ascii="Cambria Math" w:hAnsi="Cambria Math"/>
                    </w:rPr>
                    <m:t>24-</m:t>
                  </m:r>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ref</m:t>
                          </m:r>
                        </m:sub>
                      </m:sSub>
                    </m:num>
                    <m:den>
                      <m:sSub>
                        <m:sSubPr>
                          <m:ctrlPr>
                            <w:rPr>
                              <w:rFonts w:ascii="Cambria Math" w:hAnsi="Cambria Math"/>
                              <w:i/>
                            </w:rPr>
                          </m:ctrlPr>
                        </m:sSubPr>
                        <m:e>
                          <m:r>
                            <w:rPr>
                              <w:rFonts w:ascii="Cambria Math" w:hAnsi="Cambria Math"/>
                            </w:rPr>
                            <m:t>P</m:t>
                          </m:r>
                        </m:e>
                        <m:sub>
                          <m:r>
                            <w:rPr>
                              <w:rFonts w:ascii="Cambria Math" w:hAnsi="Cambria Math"/>
                            </w:rPr>
                            <m:t>4</m:t>
                          </m:r>
                        </m:sub>
                      </m:sSub>
                    </m:den>
                  </m:f>
                </m:e>
              </m:d>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stby</m:t>
                  </m:r>
                </m:sub>
              </m:sSub>
            </m:e>
          </m:d>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P</m:t>
                  </m:r>
                </m:e>
                <m:sub>
                  <m:r>
                    <w:rPr>
                      <w:rFonts w:ascii="Cambria Math" w:hAnsi="Cambria Math"/>
                    </w:rPr>
                    <m:t>4</m:t>
                  </m:r>
                </m:sub>
              </m:sSub>
            </m:den>
          </m:f>
        </m:oMath>
      </m:oMathPara>
    </w:p>
    <w:p w:rsidR="00406DCE" w:rsidRDefault="00406DCE" w:rsidP="00A60D3A"/>
    <w:p w:rsidR="00406DCE" w:rsidRPr="001E2EE3" w:rsidRDefault="00406DCE" w:rsidP="00A60D3A">
      <w:r>
        <w:t xml:space="preserve">All the </w:t>
      </w:r>
      <w:r w:rsidR="00841C08">
        <w:t xml:space="preserve">necessary </w:t>
      </w:r>
      <w:r>
        <w:t xml:space="preserve">data </w:t>
      </w:r>
      <w:r w:rsidR="00841C08">
        <w:t>can</w:t>
      </w:r>
      <w:r>
        <w:t xml:space="preserve"> be found in the relevant Annexes of the Regulations or in the data </w:t>
      </w:r>
      <w:r w:rsidRPr="001E2EE3">
        <w:t>sheet of the boiler.</w:t>
      </w:r>
    </w:p>
    <w:p w:rsidR="001E2EE3" w:rsidRPr="001E2EE3" w:rsidRDefault="001E2EE3" w:rsidP="00A60D3A">
      <w:r w:rsidRPr="001E2EE3">
        <w:t>This method makes a series of simplifications:</w:t>
      </w:r>
    </w:p>
    <w:p w:rsidR="001E2EE3" w:rsidRPr="001E2EE3" w:rsidRDefault="001E2EE3" w:rsidP="001E2EE3">
      <w:pPr>
        <w:pStyle w:val="ListParagraph"/>
        <w:numPr>
          <w:ilvl w:val="0"/>
          <w:numId w:val="23"/>
        </w:numPr>
        <w:rPr>
          <w:rFonts w:ascii="Times New Roman" w:hAnsi="Times New Roman"/>
          <w:sz w:val="24"/>
          <w:szCs w:val="24"/>
        </w:rPr>
      </w:pPr>
      <w:r w:rsidRPr="001E2EE3">
        <w:rPr>
          <w:rFonts w:ascii="Times New Roman" w:hAnsi="Times New Roman"/>
          <w:sz w:val="24"/>
          <w:szCs w:val="24"/>
        </w:rPr>
        <w:t>The smart control facto</w:t>
      </w:r>
      <w:r w:rsidR="00214E26">
        <w:rPr>
          <w:rFonts w:ascii="Times New Roman" w:hAnsi="Times New Roman"/>
          <w:sz w:val="24"/>
          <w:szCs w:val="24"/>
        </w:rPr>
        <w:t>r</w:t>
      </w:r>
      <w:r w:rsidRPr="001E2EE3">
        <w:rPr>
          <w:rFonts w:ascii="Times New Roman" w:hAnsi="Times New Roman"/>
          <w:sz w:val="24"/>
          <w:szCs w:val="24"/>
        </w:rPr>
        <w:t xml:space="preserve"> is not used as it does not apply in this context</w:t>
      </w:r>
      <w:r w:rsidR="00841C08">
        <w:rPr>
          <w:rFonts w:ascii="Times New Roman" w:hAnsi="Times New Roman"/>
          <w:sz w:val="24"/>
          <w:szCs w:val="24"/>
        </w:rPr>
        <w:t>;</w:t>
      </w:r>
    </w:p>
    <w:p w:rsidR="001E2EE3" w:rsidRPr="001E2EE3" w:rsidRDefault="001E2EE3" w:rsidP="001E2EE3">
      <w:pPr>
        <w:pStyle w:val="ListParagraph"/>
        <w:numPr>
          <w:ilvl w:val="0"/>
          <w:numId w:val="23"/>
        </w:numPr>
        <w:rPr>
          <w:rFonts w:ascii="Times New Roman" w:hAnsi="Times New Roman"/>
          <w:sz w:val="24"/>
          <w:szCs w:val="24"/>
        </w:rPr>
      </w:pPr>
      <w:r w:rsidRPr="001E2EE3">
        <w:rPr>
          <w:rFonts w:ascii="Times New Roman" w:hAnsi="Times New Roman"/>
          <w:sz w:val="24"/>
          <w:szCs w:val="24"/>
        </w:rPr>
        <w:t>The tank losses are set to 0 as they are already considered in the SOLCAL method.</w:t>
      </w:r>
    </w:p>
    <w:p w:rsidR="00406DCE" w:rsidRDefault="00406DCE" w:rsidP="00A60D3A">
      <w:r w:rsidRPr="001E2EE3">
        <w:t>Th</w:t>
      </w:r>
      <w:r w:rsidR="005659D4">
        <w:t>is</w:t>
      </w:r>
      <w:r w:rsidRPr="001E2EE3">
        <w:t xml:space="preserve"> method is only applicable to packages with a load profile M, L, XL and</w:t>
      </w:r>
      <w:r>
        <w:t xml:space="preserve"> XXL.</w:t>
      </w:r>
    </w:p>
    <w:p w:rsidR="00406DCE" w:rsidRDefault="00406DCE" w:rsidP="00A60D3A">
      <w:r>
        <w:t>Several test</w:t>
      </w:r>
      <w:r w:rsidR="00FE46B7">
        <w:t>s</w:t>
      </w:r>
      <w:r>
        <w:t xml:space="preserve"> have been carried out in order to verify the applicability of the proposed method, the results </w:t>
      </w:r>
      <w:r w:rsidR="00841C08">
        <w:t xml:space="preserve">of which are </w:t>
      </w:r>
      <w:r>
        <w:t>shown below.</w:t>
      </w:r>
    </w:p>
    <w:p w:rsidR="00406DCE" w:rsidRDefault="00406DCE" w:rsidP="00A60D3A">
      <w:r w:rsidRPr="00406DCE">
        <w:rPr>
          <w:noProof/>
          <w:lang w:val="es-ES" w:eastAsia="es-ES"/>
        </w:rPr>
        <w:lastRenderedPageBreak/>
        <w:drawing>
          <wp:inline distT="0" distB="0" distL="0" distR="0" wp14:anchorId="612B9B90" wp14:editId="60FBC817">
            <wp:extent cx="5274310" cy="341908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4310" cy="3419085"/>
                    </a:xfrm>
                    <a:prstGeom prst="rect">
                      <a:avLst/>
                    </a:prstGeom>
                    <a:noFill/>
                    <a:ln>
                      <a:noFill/>
                    </a:ln>
                  </pic:spPr>
                </pic:pic>
              </a:graphicData>
            </a:graphic>
          </wp:inline>
        </w:drawing>
      </w:r>
    </w:p>
    <w:p w:rsidR="00E72994" w:rsidRDefault="00E72994" w:rsidP="00A60D3A">
      <w:r w:rsidRPr="00E72994">
        <w:t xml:space="preserve">In order not to create an incentive driving the market towards calculation instead of measurements and </w:t>
      </w:r>
      <w:r w:rsidR="00264E22">
        <w:t xml:space="preserve">to </w:t>
      </w:r>
      <w:r w:rsidRPr="00E72994">
        <w:t>ensure that adequate information is provided to consumers the water heating energy efficiency to be used for the purposes of the package label when the calculation method is being used shall be:</w:t>
      </w:r>
    </w:p>
    <w:p w:rsidR="00E72994" w:rsidRPr="00FE46B7" w:rsidRDefault="009B2939" w:rsidP="00A60D3A">
      <m:oMathPara>
        <m:oMath>
          <m:sSub>
            <m:sSubPr>
              <m:ctrlPr>
                <w:rPr>
                  <w:rFonts w:ascii="Cambria Math" w:hAnsi="Cambria Math"/>
                  <w:i/>
                </w:rPr>
              </m:ctrlPr>
            </m:sSubPr>
            <m:e>
              <m:r>
                <w:rPr>
                  <w:rFonts w:ascii="Cambria Math" w:hAnsi="Cambria Math"/>
                </w:rPr>
                <m:t>η</m:t>
              </m:r>
            </m:e>
            <m:sub>
              <m:r>
                <w:rPr>
                  <w:rFonts w:ascii="Cambria Math" w:hAnsi="Cambria Math"/>
                </w:rPr>
                <m:t>wh</m:t>
              </m:r>
            </m:sub>
          </m:sSub>
          <m:r>
            <w:rPr>
              <w:rFonts w:ascii="Cambria Math" w:hAnsi="Cambria Math"/>
            </w:rPr>
            <m:t>=</m:t>
          </m:r>
          <m:sSub>
            <m:sSubPr>
              <m:ctrlPr>
                <w:rPr>
                  <w:rFonts w:ascii="Cambria Math" w:hAnsi="Cambria Math"/>
                  <w:i/>
                </w:rPr>
              </m:ctrlPr>
            </m:sSubPr>
            <m:e>
              <m:r>
                <w:rPr>
                  <w:rFonts w:ascii="Cambria Math" w:hAnsi="Cambria Math"/>
                </w:rPr>
                <m:t>η</m:t>
              </m:r>
            </m:e>
            <m:sub>
              <m:r>
                <w:rPr>
                  <w:rFonts w:ascii="Cambria Math" w:hAnsi="Cambria Math"/>
                </w:rPr>
                <m:t>wh_calc</m:t>
              </m:r>
            </m:sub>
          </m:sSub>
          <m:r>
            <w:rPr>
              <w:rFonts w:ascii="Cambria Math" w:hAnsi="Cambria Math"/>
            </w:rPr>
            <m:t>·0.95</m:t>
          </m:r>
        </m:oMath>
      </m:oMathPara>
    </w:p>
    <w:p w:rsidR="00FE46B7" w:rsidRDefault="00FE46B7" w:rsidP="00A60D3A">
      <w:r>
        <w:t>The graphic presented above is based on a series of 30 tests carried out according to EN 13203-2:2006 and the calculation method presented above.</w:t>
      </w:r>
    </w:p>
    <w:p w:rsidR="00FE46B7" w:rsidRPr="00A60D3A" w:rsidRDefault="00FE46B7" w:rsidP="00A60D3A">
      <w:r>
        <w:t xml:space="preserve">If a normal </w:t>
      </w:r>
      <w:r w:rsidR="00841C08">
        <w:t xml:space="preserve">error </w:t>
      </w:r>
      <w:r>
        <w:t xml:space="preserve">distribution is </w:t>
      </w:r>
      <w:r w:rsidR="00841C08">
        <w:t>presumed</w:t>
      </w:r>
      <w:r>
        <w:t xml:space="preserve">, </w:t>
      </w:r>
      <w:r w:rsidR="00731B49">
        <w:t xml:space="preserve">the </w:t>
      </w:r>
      <w:r>
        <w:t xml:space="preserve">correction </w:t>
      </w:r>
      <w:r w:rsidR="00731B49">
        <w:t xml:space="preserve">applied to calculated </w:t>
      </w:r>
      <w:r w:rsidR="00841C08">
        <w:t xml:space="preserve">results </w:t>
      </w:r>
      <w:r w:rsidR="00731B49">
        <w:t>makes them more conservative than measured ones in around 90%</w:t>
      </w:r>
      <w:r>
        <w:t xml:space="preserve"> of the cases.</w:t>
      </w:r>
    </w:p>
    <w:p w:rsidR="00FA4D22" w:rsidRDefault="00FA4D22" w:rsidP="00DD4204">
      <w:pPr>
        <w:pStyle w:val="Heading1"/>
      </w:pPr>
      <w:bookmarkStart w:id="38" w:name="_Toc402443621"/>
      <w:r w:rsidRPr="0015605F">
        <w:t>Frequently Asked Questions</w:t>
      </w:r>
      <w:bookmarkEnd w:id="36"/>
      <w:bookmarkEnd w:id="38"/>
    </w:p>
    <w:p w:rsidR="00FA4D22" w:rsidRPr="00DD4204" w:rsidRDefault="00FA4D22" w:rsidP="00DD4204">
      <w:pPr>
        <w:rPr>
          <w:b/>
          <w:i/>
        </w:rPr>
      </w:pPr>
      <w:r w:rsidRPr="00DD4204">
        <w:rPr>
          <w:b/>
          <w:i/>
        </w:rPr>
        <w:t>Is voluntary application of the label before the official introduction admitted? How to ensure uniform application in the EU?</w:t>
      </w:r>
    </w:p>
    <w:p w:rsidR="005659D4" w:rsidRDefault="00FA4D22" w:rsidP="00DD4204">
      <w:pPr>
        <w:rPr>
          <w:rFonts w:eastAsia="Batang"/>
          <w:lang w:eastAsia="de-DE"/>
        </w:rPr>
      </w:pPr>
      <w:r w:rsidRPr="00A500E8">
        <w:rPr>
          <w:rFonts w:eastAsia="Batang"/>
          <w:lang w:eastAsia="de-DE"/>
        </w:rPr>
        <w:t xml:space="preserve">Voluntary application of the label before the official implementation date is not allowed under the Energy Labelling Directive which establishes that the supply and subsequent display of a label before the date specified in a delegated act for suppliers to supply the specific label concerned falls under </w:t>
      </w:r>
      <w:r w:rsidR="00264E22">
        <w:rPr>
          <w:rFonts w:eastAsia="Batang"/>
          <w:lang w:eastAsia="de-DE"/>
        </w:rPr>
        <w:t>"</w:t>
      </w:r>
      <w:r w:rsidRPr="00A500E8">
        <w:rPr>
          <w:rFonts w:eastAsia="Batang"/>
          <w:lang w:eastAsia="de-DE"/>
        </w:rPr>
        <w:t>unauthorized use</w:t>
      </w:r>
      <w:r w:rsidR="00264E22">
        <w:rPr>
          <w:rFonts w:eastAsia="Batang"/>
          <w:lang w:eastAsia="de-DE"/>
        </w:rPr>
        <w:t>"</w:t>
      </w:r>
      <w:r w:rsidRPr="00A500E8">
        <w:rPr>
          <w:rFonts w:eastAsia="Batang"/>
          <w:lang w:eastAsia="de-DE"/>
        </w:rPr>
        <w:t xml:space="preserve"> of the label, which is defined in Article 2(k) of the Directive as the use of the label, other than by Member State authorities or EU institutions, in a manner not provided for in the Directive or in the a delegated act. Delegated acts specify the date from which a particular label shall be supplied. If it is supplied and subsequently displayed before that date the label is thus used in a manner not pro</w:t>
      </w:r>
      <w:r w:rsidR="005659D4">
        <w:rPr>
          <w:rFonts w:eastAsia="Batang"/>
          <w:lang w:eastAsia="de-DE"/>
        </w:rPr>
        <w:t>vided for in the delegated act.</w:t>
      </w:r>
    </w:p>
    <w:p w:rsidR="00FA4D22" w:rsidRPr="00A500E8" w:rsidRDefault="005659D4" w:rsidP="00DD4204">
      <w:pPr>
        <w:rPr>
          <w:rFonts w:eastAsia="Batang"/>
          <w:b/>
          <w:bCs/>
        </w:rPr>
      </w:pPr>
      <w:r>
        <w:rPr>
          <w:rFonts w:eastAsia="Batang"/>
          <w:lang w:eastAsia="de-DE"/>
        </w:rPr>
        <w:t>L</w:t>
      </w:r>
      <w:r w:rsidR="00841C08">
        <w:rPr>
          <w:rFonts w:eastAsia="Batang"/>
          <w:lang w:eastAsia="de-DE"/>
        </w:rPr>
        <w:t xml:space="preserve">abel </w:t>
      </w:r>
      <w:r w:rsidR="00FA4D22" w:rsidRPr="00A500E8">
        <w:rPr>
          <w:rFonts w:eastAsia="Batang"/>
          <w:lang w:eastAsia="de-DE"/>
        </w:rPr>
        <w:t>classes (</w:t>
      </w:r>
      <w:r w:rsidR="00841C08">
        <w:rPr>
          <w:rFonts w:eastAsia="Batang"/>
          <w:lang w:eastAsia="de-DE"/>
        </w:rPr>
        <w:t xml:space="preserve">e.g. </w:t>
      </w:r>
      <w:r w:rsidR="00FA4D22" w:rsidRPr="00A500E8">
        <w:rPr>
          <w:rFonts w:eastAsia="Batang"/>
          <w:lang w:eastAsia="de-DE"/>
        </w:rPr>
        <w:t>A</w:t>
      </w:r>
      <w:r w:rsidR="00FA4D22" w:rsidRPr="00FC0EFF">
        <w:rPr>
          <w:rFonts w:eastAsia="Batang"/>
          <w:vertAlign w:val="superscript"/>
          <w:lang w:eastAsia="de-DE"/>
        </w:rPr>
        <w:t>+++</w:t>
      </w:r>
      <w:r w:rsidR="00FA4D22" w:rsidRPr="00A500E8">
        <w:rPr>
          <w:rFonts w:eastAsia="Batang"/>
          <w:lang w:eastAsia="de-DE"/>
        </w:rPr>
        <w:t xml:space="preserve">), </w:t>
      </w:r>
      <w:r w:rsidR="00841C08">
        <w:rPr>
          <w:rFonts w:eastAsia="Batang"/>
          <w:lang w:eastAsia="de-DE"/>
        </w:rPr>
        <w:t>that</w:t>
      </w:r>
      <w:r w:rsidR="00841C08" w:rsidRPr="00A500E8">
        <w:rPr>
          <w:rFonts w:eastAsia="Batang"/>
          <w:lang w:eastAsia="de-DE"/>
        </w:rPr>
        <w:t xml:space="preserve"> </w:t>
      </w:r>
      <w:r w:rsidR="00FA4D22" w:rsidRPr="00A500E8">
        <w:rPr>
          <w:rFonts w:eastAsia="Batang"/>
          <w:lang w:eastAsia="de-DE"/>
        </w:rPr>
        <w:t xml:space="preserve">are subject to further regulatory measures, must not be used before the date of coming into force of </w:t>
      </w:r>
      <w:r w:rsidR="00841C08">
        <w:rPr>
          <w:rFonts w:eastAsia="Batang"/>
          <w:lang w:eastAsia="de-DE"/>
        </w:rPr>
        <w:t>that</w:t>
      </w:r>
      <w:r w:rsidR="00841C08" w:rsidRPr="00A500E8">
        <w:rPr>
          <w:rFonts w:eastAsia="Batang"/>
          <w:lang w:eastAsia="de-DE"/>
        </w:rPr>
        <w:t xml:space="preserve"> </w:t>
      </w:r>
      <w:r w:rsidR="00FA4D22" w:rsidRPr="00A500E8">
        <w:rPr>
          <w:rFonts w:eastAsia="Batang"/>
          <w:lang w:eastAsia="de-DE"/>
        </w:rPr>
        <w:t>specific label.</w:t>
      </w:r>
    </w:p>
    <w:p w:rsidR="00841C08" w:rsidRDefault="00841C08" w:rsidP="00841C08">
      <w:r w:rsidRPr="00A500E8">
        <w:rPr>
          <w:rFonts w:eastAsia="Batang"/>
          <w:lang w:eastAsia="de-DE"/>
        </w:rPr>
        <w:t xml:space="preserve">It is to be recognised that manufacturers need time to </w:t>
      </w:r>
      <w:r>
        <w:rPr>
          <w:rFonts w:eastAsia="Batang"/>
          <w:lang w:eastAsia="de-DE"/>
        </w:rPr>
        <w:t>prepare</w:t>
      </w:r>
      <w:r w:rsidRPr="00A500E8">
        <w:rPr>
          <w:rFonts w:eastAsia="Batang"/>
          <w:lang w:eastAsia="de-DE"/>
        </w:rPr>
        <w:t xml:space="preserve"> for the coming into force of the requirements</w:t>
      </w:r>
      <w:r>
        <w:rPr>
          <w:rFonts w:eastAsia="Batang"/>
          <w:lang w:eastAsia="de-DE"/>
        </w:rPr>
        <w:t>. I</w:t>
      </w:r>
      <w:r w:rsidRPr="00A500E8">
        <w:rPr>
          <w:rFonts w:eastAsia="Batang"/>
          <w:lang w:eastAsia="de-DE"/>
        </w:rPr>
        <w:t xml:space="preserve">n this respect, the Commission services would not recommend </w:t>
      </w:r>
      <w:r>
        <w:rPr>
          <w:rFonts w:eastAsia="Batang"/>
          <w:lang w:eastAsia="de-DE"/>
        </w:rPr>
        <w:t>m</w:t>
      </w:r>
      <w:r w:rsidRPr="00A500E8">
        <w:rPr>
          <w:rFonts w:eastAsia="Batang"/>
          <w:lang w:eastAsia="de-DE"/>
        </w:rPr>
        <w:t xml:space="preserve">arket </w:t>
      </w:r>
      <w:r>
        <w:rPr>
          <w:rFonts w:eastAsia="Batang"/>
          <w:lang w:eastAsia="de-DE"/>
        </w:rPr>
        <w:t>s</w:t>
      </w:r>
      <w:r w:rsidRPr="00A500E8">
        <w:rPr>
          <w:rFonts w:eastAsia="Batang"/>
          <w:lang w:eastAsia="de-DE"/>
        </w:rPr>
        <w:t xml:space="preserve">urveillance authorities </w:t>
      </w:r>
      <w:r>
        <w:rPr>
          <w:rFonts w:eastAsia="Batang"/>
          <w:lang w:eastAsia="de-DE"/>
        </w:rPr>
        <w:t xml:space="preserve">to </w:t>
      </w:r>
      <w:r w:rsidRPr="00A500E8">
        <w:rPr>
          <w:rFonts w:eastAsia="Batang"/>
          <w:lang w:eastAsia="de-DE"/>
        </w:rPr>
        <w:t xml:space="preserve">take actions against a manufacturer </w:t>
      </w:r>
      <w:r w:rsidRPr="00A500E8">
        <w:rPr>
          <w:rFonts w:eastAsia="Batang"/>
          <w:lang w:eastAsia="de-DE"/>
        </w:rPr>
        <w:lastRenderedPageBreak/>
        <w:t>provid</w:t>
      </w:r>
      <w:r>
        <w:rPr>
          <w:rFonts w:eastAsia="Batang"/>
          <w:lang w:eastAsia="de-DE"/>
        </w:rPr>
        <w:t>ing</w:t>
      </w:r>
      <w:r w:rsidRPr="00A500E8">
        <w:rPr>
          <w:rFonts w:eastAsia="Batang"/>
          <w:lang w:eastAsia="de-DE"/>
        </w:rPr>
        <w:t xml:space="preserve"> the label through its distribution cha</w:t>
      </w:r>
      <w:r>
        <w:rPr>
          <w:rFonts w:eastAsia="Batang"/>
          <w:lang w:eastAsia="de-DE"/>
        </w:rPr>
        <w:t>in</w:t>
      </w:r>
      <w:r w:rsidRPr="00A500E8">
        <w:rPr>
          <w:rFonts w:eastAsia="Batang"/>
          <w:lang w:eastAsia="de-DE"/>
        </w:rPr>
        <w:t xml:space="preserve"> a reasonable amount of time before the date of application of the requirements (</w:t>
      </w:r>
      <w:r>
        <w:rPr>
          <w:rFonts w:eastAsia="Batang"/>
          <w:lang w:eastAsia="de-DE"/>
        </w:rPr>
        <w:t xml:space="preserve">i.e. </w:t>
      </w:r>
      <w:r w:rsidRPr="00A500E8">
        <w:rPr>
          <w:rFonts w:eastAsia="Batang"/>
          <w:lang w:eastAsia="de-DE"/>
        </w:rPr>
        <w:t>26 September 2015)</w:t>
      </w:r>
      <w:r>
        <w:rPr>
          <w:rFonts w:eastAsia="Batang"/>
          <w:lang w:eastAsia="de-DE"/>
        </w:rPr>
        <w:t>.</w:t>
      </w:r>
    </w:p>
    <w:p w:rsidR="00FA4D22" w:rsidRPr="00DD4204" w:rsidRDefault="00FA4D22" w:rsidP="00DD4204">
      <w:pPr>
        <w:rPr>
          <w:b/>
          <w:i/>
        </w:rPr>
      </w:pPr>
      <w:r w:rsidRPr="00DD4204">
        <w:rPr>
          <w:b/>
          <w:i/>
        </w:rPr>
        <w:t>Can the energy label be displayed before application at trade fairs, where products are not sold and end-users do not have access (the fairs are only for professional intermediates, such as installers)?</w:t>
      </w:r>
    </w:p>
    <w:p w:rsidR="00FA4D22" w:rsidRDefault="00FA4D22" w:rsidP="00DD4204">
      <w:pPr>
        <w:rPr>
          <w:lang w:eastAsia="de-DE"/>
        </w:rPr>
      </w:pPr>
      <w:r>
        <w:rPr>
          <w:lang w:eastAsia="de-DE"/>
        </w:rPr>
        <w:t xml:space="preserve">The energy labelling Regulations establish that the dealer has to ensure that each space or water heater bears the label at the point of sale. During a trade fair, placing on the market is not </w:t>
      </w:r>
      <w:r w:rsidR="005659D4">
        <w:rPr>
          <w:lang w:eastAsia="de-DE"/>
        </w:rPr>
        <w:t>taking place</w:t>
      </w:r>
      <w:r>
        <w:rPr>
          <w:lang w:eastAsia="de-DE"/>
        </w:rPr>
        <w:t xml:space="preserve">, </w:t>
      </w:r>
      <w:r w:rsidR="004020AE">
        <w:rPr>
          <w:lang w:eastAsia="de-DE"/>
        </w:rPr>
        <w:t>there is no obligation to display</w:t>
      </w:r>
      <w:r w:rsidR="005659D4">
        <w:rPr>
          <w:lang w:eastAsia="de-DE"/>
        </w:rPr>
        <w:t xml:space="preserve"> the label and at the same time information can be provided to professionals about the energy labelling class of the product.</w:t>
      </w:r>
    </w:p>
    <w:p w:rsidR="00FA4D22" w:rsidRPr="00FC0EFF" w:rsidRDefault="00FA4D22" w:rsidP="00DD4204">
      <w:pPr>
        <w:rPr>
          <w:b/>
          <w:i/>
        </w:rPr>
      </w:pPr>
      <w:r w:rsidRPr="00FC0EFF">
        <w:rPr>
          <w:b/>
          <w:i/>
        </w:rPr>
        <w:t>Should the energy label be delivered together with the heater (space heater, combination heater, water heater), inside the box, or could it be “provided for each space heater” by means of separate literature regarding the product, websites, brochures, evidence at sales point, etc.?</w:t>
      </w:r>
    </w:p>
    <w:p w:rsidR="00FA4D22" w:rsidRPr="00FC0EFF" w:rsidRDefault="00FA4D22" w:rsidP="00DD4204">
      <w:pPr>
        <w:rPr>
          <w:lang w:eastAsia="de-DE"/>
        </w:rPr>
      </w:pPr>
      <w:r w:rsidRPr="00FC0EFF">
        <w:rPr>
          <w:lang w:eastAsia="de-DE"/>
        </w:rPr>
        <w:t xml:space="preserve">It is required that the dealer is provided with </w:t>
      </w:r>
      <w:r w:rsidR="00841C08">
        <w:rPr>
          <w:lang w:eastAsia="de-DE"/>
        </w:rPr>
        <w:t>correct</w:t>
      </w:r>
      <w:r w:rsidRPr="00FC0EFF">
        <w:rPr>
          <w:lang w:eastAsia="de-DE"/>
        </w:rPr>
        <w:t xml:space="preserve"> and clear information on the energy performance of heaters. The means by which this information is obtained does not matter. The label may be delivered together with supplementary material and does not have to be delivered with each product as long as a sufficient</w:t>
      </w:r>
      <w:r w:rsidR="00FC0EFF" w:rsidRPr="00FC0EFF">
        <w:rPr>
          <w:lang w:eastAsia="de-DE"/>
        </w:rPr>
        <w:t xml:space="preserve"> number of labels are provided.</w:t>
      </w:r>
    </w:p>
    <w:p w:rsidR="00FA4D22" w:rsidRPr="00AC37D8" w:rsidRDefault="00FA4D22" w:rsidP="00DD4204">
      <w:pPr>
        <w:rPr>
          <w:b/>
          <w:i/>
        </w:rPr>
      </w:pPr>
      <w:r w:rsidRPr="00AC37D8">
        <w:rPr>
          <w:b/>
          <w:i/>
        </w:rPr>
        <w:t>With regard to the obligation to communicate the efficiency class, the definitions of energy related information and technical parameters are unclear (e.g. are dimensions technical parameters?).</w:t>
      </w:r>
    </w:p>
    <w:p w:rsidR="00FA4D22" w:rsidRDefault="00FA4D22" w:rsidP="00DD4204">
      <w:pPr>
        <w:rPr>
          <w:lang w:eastAsia="de-DE"/>
        </w:rPr>
      </w:pPr>
      <w:r>
        <w:rPr>
          <w:lang w:eastAsia="de-DE"/>
        </w:rPr>
        <w:t>Dealers are obliged to provide information on the energy efficiency of the product together with any technical promotional material or together with information describing the technical parameters of the product. The technical parameters are reflected in Annex V of the Regulations</w:t>
      </w:r>
      <w:r w:rsidR="00841C08">
        <w:rPr>
          <w:lang w:eastAsia="de-DE"/>
        </w:rPr>
        <w:t>. D</w:t>
      </w:r>
      <w:r>
        <w:rPr>
          <w:lang w:eastAsia="de-DE"/>
        </w:rPr>
        <w:t xml:space="preserve">imensions </w:t>
      </w:r>
      <w:r w:rsidR="00841C08">
        <w:rPr>
          <w:lang w:eastAsia="de-DE"/>
        </w:rPr>
        <w:t xml:space="preserve">are not </w:t>
      </w:r>
      <w:r w:rsidR="002A06E1">
        <w:rPr>
          <w:lang w:eastAsia="de-DE"/>
        </w:rPr>
        <w:t>listed as</w:t>
      </w:r>
      <w:r w:rsidR="00841C08">
        <w:rPr>
          <w:lang w:eastAsia="de-DE"/>
        </w:rPr>
        <w:t xml:space="preserve"> technical parameters</w:t>
      </w:r>
      <w:r>
        <w:rPr>
          <w:lang w:eastAsia="de-DE"/>
        </w:rPr>
        <w:t>.</w:t>
      </w:r>
    </w:p>
    <w:p w:rsidR="00FA4D22" w:rsidRPr="00DD4204" w:rsidRDefault="00FA4D22" w:rsidP="00DD4204">
      <w:pPr>
        <w:rPr>
          <w:b/>
          <w:i/>
        </w:rPr>
      </w:pPr>
      <w:r w:rsidRPr="00DD4204">
        <w:rPr>
          <w:b/>
          <w:i/>
        </w:rPr>
        <w:t>Is a price list of the supplier which is used for dealers only defined as technical promotional material?</w:t>
      </w:r>
    </w:p>
    <w:p w:rsidR="00FA4D22" w:rsidRDefault="00FA4D22" w:rsidP="00DD4204">
      <w:pPr>
        <w:rPr>
          <w:lang w:eastAsia="de-DE"/>
        </w:rPr>
      </w:pPr>
      <w:r>
        <w:rPr>
          <w:lang w:eastAsia="de-DE"/>
        </w:rPr>
        <w:t>Any advertisement relating to a specific product and containing price information has to include a reference to the efficiency of the product. As price lists obviously include information on prices, they are covered by this obligation.</w:t>
      </w:r>
    </w:p>
    <w:p w:rsidR="00FA4D22" w:rsidRPr="004347CC" w:rsidRDefault="00FA4D22" w:rsidP="00DD4204">
      <w:pPr>
        <w:rPr>
          <w:b/>
          <w:i/>
        </w:rPr>
      </w:pPr>
      <w:r w:rsidRPr="004347CC">
        <w:rPr>
          <w:b/>
          <w:i/>
        </w:rPr>
        <w:t>For combination boilers with components delivered separately, should the manufacturer use one or two labels when bringing the package to the market? What if components are then sold separately by anybody in the distribution chain?</w:t>
      </w:r>
    </w:p>
    <w:p w:rsidR="00FA4D22" w:rsidRDefault="00FA4D22" w:rsidP="00DD4204">
      <w:pPr>
        <w:rPr>
          <w:lang w:eastAsia="de-DE"/>
        </w:rPr>
      </w:pPr>
      <w:r>
        <w:rPr>
          <w:lang w:eastAsia="de-DE"/>
        </w:rPr>
        <w:t xml:space="preserve">If the boiler and the domestic hot water tank are sold </w:t>
      </w:r>
      <w:proofErr w:type="gramStart"/>
      <w:r>
        <w:rPr>
          <w:lang w:eastAsia="de-DE"/>
        </w:rPr>
        <w:t>under</w:t>
      </w:r>
      <w:proofErr w:type="gramEnd"/>
      <w:r>
        <w:rPr>
          <w:lang w:eastAsia="de-DE"/>
        </w:rPr>
        <w:t xml:space="preserve"> two different model identifiers, then the domestic hot water tank is considered as a hot water storage tank and the two components shall be labelled separately.</w:t>
      </w:r>
    </w:p>
    <w:p w:rsidR="00FA4D22" w:rsidRPr="00DD4204" w:rsidRDefault="00FA4D22" w:rsidP="00DD4204">
      <w:pPr>
        <w:rPr>
          <w:b/>
          <w:i/>
        </w:rPr>
      </w:pPr>
      <w:r w:rsidRPr="00DD4204">
        <w:rPr>
          <w:b/>
          <w:i/>
        </w:rPr>
        <w:t>In the heat pump and solar system labels, there are "European temperature maps" and "European solar maps" displaying three zones. Where can we find a precise definition of these zones?</w:t>
      </w:r>
    </w:p>
    <w:p w:rsidR="00FA4D22" w:rsidRDefault="00841C08" w:rsidP="00DD4204">
      <w:pPr>
        <w:rPr>
          <w:lang w:eastAsia="de-DE"/>
        </w:rPr>
      </w:pPr>
      <w:r>
        <w:rPr>
          <w:lang w:eastAsia="de-DE"/>
        </w:rPr>
        <w:t>These zones were defined during the development of Regulation 206/2012 on air conditioners and are based on the climatic conditions of Strasbourg, Helsinki and Athens. Nevertheless, these zones are only indicative. Templates for the labels are available on the DG ENER Website</w:t>
      </w:r>
      <w:r w:rsidR="00FA4D22">
        <w:rPr>
          <w:lang w:eastAsia="de-DE"/>
        </w:rPr>
        <w:t>.</w:t>
      </w:r>
    </w:p>
    <w:p w:rsidR="00841C08" w:rsidRDefault="009B2939" w:rsidP="00DD4204">
      <w:pPr>
        <w:rPr>
          <w:lang w:eastAsia="de-DE"/>
        </w:rPr>
      </w:pPr>
      <w:hyperlink r:id="rId23" w:history="1">
        <w:r w:rsidR="00841C08" w:rsidRPr="007D10E0">
          <w:rPr>
            <w:rStyle w:val="Hyperlink"/>
            <w:lang w:eastAsia="de-DE"/>
          </w:rPr>
          <w:t>http://ec.europa.eu/energy/efficiency/labelling/labelling_en.htm</w:t>
        </w:r>
      </w:hyperlink>
    </w:p>
    <w:p w:rsidR="00FA4D22" w:rsidRPr="00DD4204" w:rsidRDefault="00FA4D22" w:rsidP="00DD4204">
      <w:pPr>
        <w:rPr>
          <w:b/>
          <w:i/>
        </w:rPr>
      </w:pPr>
      <w:r w:rsidRPr="00DD4204">
        <w:rPr>
          <w:b/>
          <w:i/>
        </w:rPr>
        <w:t>The product fiches describe in Regulations (EU) 811/2013 and 812/2013 are slightly different. How could we have a harmonisation to make the document management easier?</w:t>
      </w:r>
    </w:p>
    <w:p w:rsidR="003413BC" w:rsidRPr="0026738C" w:rsidRDefault="003413BC" w:rsidP="003413BC">
      <w:r>
        <w:rPr>
          <w:lang w:eastAsia="de-DE"/>
        </w:rPr>
        <w:t>The format of the fiches provided in the Regulations is only indicative. The key requirement is that the information requested is made available by the supplier. Therefore, the supplier can always constru</w:t>
      </w:r>
      <w:r w:rsidRPr="00A500E8">
        <w:rPr>
          <w:lang w:eastAsia="de-DE"/>
        </w:rPr>
        <w:t>c</w:t>
      </w:r>
      <w:r>
        <w:rPr>
          <w:lang w:eastAsia="de-DE"/>
        </w:rPr>
        <w:t>t a single fiche covering all the necessary information.</w:t>
      </w:r>
    </w:p>
    <w:p w:rsidR="00FA4D22" w:rsidRPr="001A7867" w:rsidRDefault="00FA4D22" w:rsidP="00DD4204">
      <w:pPr>
        <w:rPr>
          <w:b/>
          <w:i/>
        </w:rPr>
      </w:pPr>
      <w:r w:rsidRPr="0020505C">
        <w:rPr>
          <w:b/>
          <w:i/>
        </w:rPr>
        <w:t xml:space="preserve">How to deal with the labelling and </w:t>
      </w:r>
      <w:proofErr w:type="spellStart"/>
      <w:r w:rsidRPr="0020505C">
        <w:rPr>
          <w:b/>
          <w:i/>
        </w:rPr>
        <w:t>ErP</w:t>
      </w:r>
      <w:proofErr w:type="spellEnd"/>
      <w:r w:rsidRPr="0020505C">
        <w:rPr>
          <w:b/>
          <w:i/>
        </w:rPr>
        <w:t xml:space="preserve"> requirements of hybrid products made by the combination of two or more technologies in one casing, delivered on the market by one supp</w:t>
      </w:r>
      <w:r w:rsidRPr="001A7867">
        <w:rPr>
          <w:b/>
          <w:i/>
        </w:rPr>
        <w:t>lier?  How to deal with heat pump integrating a fossil fuel supplementary heater?</w:t>
      </w:r>
    </w:p>
    <w:p w:rsidR="00FA4D22" w:rsidRPr="00BB2B95" w:rsidRDefault="00FA4D22" w:rsidP="00DD4204">
      <w:pPr>
        <w:rPr>
          <w:lang w:eastAsia="de-DE"/>
        </w:rPr>
      </w:pPr>
      <w:r w:rsidRPr="001A7867">
        <w:rPr>
          <w:lang w:eastAsia="de-DE"/>
        </w:rPr>
        <w:t xml:space="preserve">A “hybrid” put on the market consisting of two or more technologies integrated in one casing </w:t>
      </w:r>
      <w:r w:rsidR="003413BC">
        <w:rPr>
          <w:lang w:eastAsia="de-DE"/>
        </w:rPr>
        <w:t>would be considered</w:t>
      </w:r>
      <w:r w:rsidRPr="001A7867">
        <w:rPr>
          <w:lang w:eastAsia="de-DE"/>
        </w:rPr>
        <w:t xml:space="preserve"> a “product”. The definition of the type of product is up to the supplier. If the leading technology is the heat pump, the hybrid will be labelled as a heat pump. </w:t>
      </w:r>
      <w:r w:rsidRPr="00BB2B95">
        <w:rPr>
          <w:lang w:eastAsia="de-DE"/>
        </w:rPr>
        <w:t xml:space="preserve">If the leading appliance is the fossil fuel heater, the hybrid </w:t>
      </w:r>
      <w:r w:rsidR="003413BC">
        <w:rPr>
          <w:lang w:eastAsia="de-DE"/>
        </w:rPr>
        <w:t>should</w:t>
      </w:r>
      <w:r w:rsidRPr="00BB2B95">
        <w:rPr>
          <w:lang w:eastAsia="de-DE"/>
        </w:rPr>
        <w:t xml:space="preserve"> be labelled as a fossil fuel heater.</w:t>
      </w:r>
    </w:p>
    <w:p w:rsidR="00FA4D22" w:rsidRPr="00047FC8" w:rsidRDefault="00FA4D22" w:rsidP="00DD4204">
      <w:pPr>
        <w:rPr>
          <w:lang w:eastAsia="de-DE"/>
        </w:rPr>
      </w:pPr>
      <w:r w:rsidRPr="00BB2B95">
        <w:rPr>
          <w:lang w:eastAsia="de-DE"/>
        </w:rPr>
        <w:t xml:space="preserve">In the absence of a calculation methodology for </w:t>
      </w:r>
      <w:r w:rsidR="004347CC">
        <w:rPr>
          <w:lang w:eastAsia="de-DE"/>
        </w:rPr>
        <w:t>heat pumps</w:t>
      </w:r>
      <w:r w:rsidRPr="00BB2B95">
        <w:rPr>
          <w:lang w:eastAsia="de-DE"/>
        </w:rPr>
        <w:t xml:space="preserve"> integrating a fossil fuel supplementary heater, suppliers can use the same methodology proposed by EN 14825 for electrical supplementary heaters by replacing performances of electrical supplementary heater with the performances of fossil fuel supplementary heater.</w:t>
      </w:r>
      <w:r w:rsidRPr="0020505C">
        <w:rPr>
          <w:lang w:eastAsia="de-DE"/>
        </w:rPr>
        <w:t xml:space="preserve"> It is up to the standardisation process to develop specific standards for these hybrid products.</w:t>
      </w:r>
    </w:p>
    <w:p w:rsidR="00FA4D22" w:rsidRDefault="00FA4D22" w:rsidP="00DD4204">
      <w:pPr>
        <w:rPr>
          <w:lang w:eastAsia="de-DE"/>
        </w:rPr>
      </w:pPr>
      <w:r w:rsidRPr="00D23B19">
        <w:rPr>
          <w:lang w:eastAsia="de-DE"/>
        </w:rPr>
        <w:t>Systems made of a heat pump and a fossil fuel burner can be considered as:</w:t>
      </w:r>
    </w:p>
    <w:p w:rsidR="00FA4D22" w:rsidRDefault="00FA4D22" w:rsidP="00687707">
      <w:pPr>
        <w:numPr>
          <w:ilvl w:val="0"/>
          <w:numId w:val="17"/>
        </w:numPr>
        <w:rPr>
          <w:lang w:eastAsia="de-DE"/>
        </w:rPr>
      </w:pPr>
      <w:r>
        <w:rPr>
          <w:lang w:eastAsia="de-DE"/>
        </w:rPr>
        <w:t xml:space="preserve">A heat pump heater equipped with a </w:t>
      </w:r>
      <w:r w:rsidR="0012706A">
        <w:rPr>
          <w:lang w:eastAsia="de-DE"/>
        </w:rPr>
        <w:t xml:space="preserve">supplementary heater. </w:t>
      </w:r>
      <w:r>
        <w:rPr>
          <w:lang w:eastAsia="de-DE"/>
        </w:rPr>
        <w:t>In this case the heat pump shall fulfil the applicable requirements.</w:t>
      </w:r>
    </w:p>
    <w:p w:rsidR="00FA4D22" w:rsidRDefault="00FA4D22" w:rsidP="00687707">
      <w:pPr>
        <w:numPr>
          <w:ilvl w:val="0"/>
          <w:numId w:val="17"/>
        </w:numPr>
        <w:rPr>
          <w:lang w:eastAsia="de-DE"/>
        </w:rPr>
      </w:pPr>
      <w:r>
        <w:rPr>
          <w:lang w:eastAsia="de-DE"/>
        </w:rPr>
        <w:t xml:space="preserve">A </w:t>
      </w:r>
      <w:r w:rsidR="00DD4204">
        <w:rPr>
          <w:lang w:eastAsia="de-DE"/>
        </w:rPr>
        <w:t>package</w:t>
      </w:r>
      <w:r>
        <w:rPr>
          <w:lang w:eastAsia="de-DE"/>
        </w:rPr>
        <w:t xml:space="preserve"> of a heat pump and a boiler (or a package of a boiler and a heat pump).</w:t>
      </w:r>
    </w:p>
    <w:p w:rsidR="00FA4D22" w:rsidRPr="0020505C" w:rsidRDefault="00FA4D22" w:rsidP="00DD4204">
      <w:pPr>
        <w:rPr>
          <w:b/>
          <w:i/>
        </w:rPr>
      </w:pPr>
      <w:r w:rsidRPr="0020505C">
        <w:rPr>
          <w:b/>
          <w:i/>
        </w:rPr>
        <w:t>How can the manufacturer of free standing boilers</w:t>
      </w:r>
      <w:r w:rsidR="00592387">
        <w:rPr>
          <w:b/>
          <w:i/>
        </w:rPr>
        <w:t xml:space="preserve"> ("boilers" </w:t>
      </w:r>
      <w:r w:rsidR="0020505C">
        <w:rPr>
          <w:b/>
          <w:i/>
        </w:rPr>
        <w:t>p</w:t>
      </w:r>
      <w:r w:rsidR="00592387">
        <w:rPr>
          <w:b/>
          <w:i/>
        </w:rPr>
        <w:t xml:space="preserve">ut on the market without burner) </w:t>
      </w:r>
      <w:r w:rsidRPr="0020505C">
        <w:rPr>
          <w:b/>
          <w:i/>
        </w:rPr>
        <w:t>verify and declare the compliance of the boiler to the ecodesign and labelling requirements?</w:t>
      </w:r>
    </w:p>
    <w:p w:rsidR="00782CAD" w:rsidRDefault="00214E26" w:rsidP="00DD4204">
      <w:pPr>
        <w:rPr>
          <w:lang w:eastAsia="de-DE"/>
        </w:rPr>
      </w:pPr>
      <w:r>
        <w:rPr>
          <w:lang w:eastAsia="de-DE"/>
        </w:rPr>
        <w:t xml:space="preserve">“Free standing boilers” are not equipped with a burner (heat generator). According to the definition of “space heater” in the Regulations </w:t>
      </w:r>
      <w:r w:rsidR="00264E22">
        <w:rPr>
          <w:lang w:eastAsia="de-DE"/>
        </w:rPr>
        <w:t xml:space="preserve">they </w:t>
      </w:r>
      <w:r>
        <w:rPr>
          <w:lang w:eastAsia="de-DE"/>
        </w:rPr>
        <w:t>are excluded from the scope.</w:t>
      </w:r>
    </w:p>
    <w:p w:rsidR="00FA4D22" w:rsidRPr="00DD4204" w:rsidRDefault="00FA4D22" w:rsidP="00DD4204">
      <w:pPr>
        <w:rPr>
          <w:b/>
          <w:i/>
        </w:rPr>
      </w:pPr>
      <w:r w:rsidRPr="00DD4204">
        <w:rPr>
          <w:b/>
          <w:i/>
        </w:rPr>
        <w:t>What is the definition of preferential heater?</w:t>
      </w:r>
    </w:p>
    <w:p w:rsidR="00FA4D22" w:rsidRDefault="00264E22" w:rsidP="00DD4204">
      <w:pPr>
        <w:rPr>
          <w:lang w:eastAsia="de-DE"/>
        </w:rPr>
      </w:pPr>
      <w:r>
        <w:rPr>
          <w:lang w:eastAsia="de-DE"/>
        </w:rPr>
        <w:t xml:space="preserve">A </w:t>
      </w:r>
      <w:r w:rsidR="00FA4D22">
        <w:rPr>
          <w:lang w:eastAsia="de-DE"/>
        </w:rPr>
        <w:t xml:space="preserve">preferential heater is </w:t>
      </w:r>
      <w:r>
        <w:rPr>
          <w:lang w:eastAsia="de-DE"/>
        </w:rPr>
        <w:t xml:space="preserve">a </w:t>
      </w:r>
      <w:r w:rsidR="00FA4D22">
        <w:rPr>
          <w:lang w:eastAsia="de-DE"/>
        </w:rPr>
        <w:t>heat</w:t>
      </w:r>
      <w:r>
        <w:rPr>
          <w:lang w:eastAsia="de-DE"/>
        </w:rPr>
        <w:t>er</w:t>
      </w:r>
      <w:r w:rsidR="00FA4D22">
        <w:rPr>
          <w:lang w:eastAsia="de-DE"/>
        </w:rPr>
        <w:t xml:space="preserve"> that generates heat in cases where the heat demand is lower than or equal to its rated output.</w:t>
      </w:r>
    </w:p>
    <w:p w:rsidR="00FA4D22" w:rsidRDefault="00FA4D22" w:rsidP="00DD4204">
      <w:pPr>
        <w:rPr>
          <w:lang w:eastAsia="de-DE"/>
        </w:rPr>
      </w:pPr>
      <w:r>
        <w:rPr>
          <w:lang w:eastAsia="de-DE"/>
        </w:rPr>
        <w:t xml:space="preserve">In general, </w:t>
      </w:r>
      <w:r w:rsidR="00264E22">
        <w:rPr>
          <w:lang w:eastAsia="de-DE"/>
        </w:rPr>
        <w:t xml:space="preserve">a </w:t>
      </w:r>
      <w:r>
        <w:rPr>
          <w:lang w:eastAsia="de-DE"/>
        </w:rPr>
        <w:t>prefe</w:t>
      </w:r>
      <w:r w:rsidR="0020505C">
        <w:rPr>
          <w:lang w:eastAsia="de-DE"/>
        </w:rPr>
        <w:t>re</w:t>
      </w:r>
      <w:r>
        <w:rPr>
          <w:lang w:eastAsia="de-DE"/>
        </w:rPr>
        <w:t xml:space="preserve">ntial heater is </w:t>
      </w:r>
      <w:r w:rsidR="00264E22">
        <w:rPr>
          <w:lang w:eastAsia="de-DE"/>
        </w:rPr>
        <w:t xml:space="preserve">a </w:t>
      </w:r>
      <w:r>
        <w:rPr>
          <w:lang w:eastAsia="de-DE"/>
        </w:rPr>
        <w:t xml:space="preserve">heater which </w:t>
      </w:r>
      <w:r w:rsidR="004347CC">
        <w:rPr>
          <w:lang w:eastAsia="de-DE"/>
        </w:rPr>
        <w:t>is to</w:t>
      </w:r>
      <w:r>
        <w:rPr>
          <w:lang w:eastAsia="de-DE"/>
        </w:rPr>
        <w:t xml:space="preserve"> be switched on first (usually because it gives the best efficiency). Only if the heat demand exceeds the output of the preferential heater, the supplementary heater </w:t>
      </w:r>
      <w:r w:rsidR="003413BC">
        <w:rPr>
          <w:lang w:eastAsia="de-DE"/>
        </w:rPr>
        <w:t>is switched on</w:t>
      </w:r>
      <w:r>
        <w:rPr>
          <w:lang w:eastAsia="de-DE"/>
        </w:rPr>
        <w:t>.</w:t>
      </w:r>
    </w:p>
    <w:p w:rsidR="00F1175C" w:rsidRPr="00DD4204" w:rsidRDefault="00F1175C" w:rsidP="00F1175C">
      <w:pPr>
        <w:rPr>
          <w:b/>
          <w:i/>
        </w:rPr>
      </w:pPr>
      <w:r>
        <w:rPr>
          <w:b/>
          <w:i/>
        </w:rPr>
        <w:t>Can it be indicated that electronic instantaneous water heaters are more efficient than hydraulic instantaneous water heaters</w:t>
      </w:r>
      <w:r w:rsidRPr="00DD4204">
        <w:rPr>
          <w:b/>
          <w:i/>
        </w:rPr>
        <w:t>?</w:t>
      </w:r>
    </w:p>
    <w:p w:rsidR="00F1175C" w:rsidRDefault="00F1175C" w:rsidP="00F1175C">
      <w:r>
        <w:lastRenderedPageBreak/>
        <w:t xml:space="preserve">The calculation of the water heating energy efficiency of water heaters is based on the tapping profiles provided in the Regulations. These tapping profiles are based on </w:t>
      </w:r>
      <w:r w:rsidR="00264E22">
        <w:t xml:space="preserve">the </w:t>
      </w:r>
      <w:r>
        <w:t>energy content of the withdrawn water.</w:t>
      </w:r>
    </w:p>
    <w:p w:rsidR="00F1175C" w:rsidRDefault="00F1175C" w:rsidP="00F1175C">
      <w:r>
        <w:t xml:space="preserve">In the case of </w:t>
      </w:r>
      <w:r w:rsidR="00264E22">
        <w:t>electric instantaneous water heaters (</w:t>
      </w:r>
      <w:r w:rsidR="00264E22" w:rsidRPr="00264E22">
        <w:t>EEIWH)</w:t>
      </w:r>
      <w:r w:rsidR="00264E22">
        <w:t xml:space="preserve"> </w:t>
      </w:r>
      <w:r>
        <w:t xml:space="preserve">different technologies exist, hydraulically and electronically controlled products. Electronic </w:t>
      </w:r>
      <w:r w:rsidR="00264E22">
        <w:t xml:space="preserve">electric instantaneous </w:t>
      </w:r>
      <w:r w:rsidR="004347CC">
        <w:t>w</w:t>
      </w:r>
      <w:r w:rsidR="00264E22">
        <w:t>ater heaters</w:t>
      </w:r>
      <w:r>
        <w:t xml:space="preserve">, through an electronic control system are better </w:t>
      </w:r>
      <w:r w:rsidR="00264E22" w:rsidRPr="00264E22">
        <w:t xml:space="preserve">able to </w:t>
      </w:r>
      <w:r>
        <w:t>fine-tune the electrical power consumption to heat up the water to the requested water temperature, without the need of mixing cold water. This results in a reduction of the energy consumption when comparing EEIWH</w:t>
      </w:r>
      <w:r w:rsidR="00264E22">
        <w:t>s</w:t>
      </w:r>
      <w:r>
        <w:t xml:space="preserve"> to simple </w:t>
      </w:r>
      <w:r w:rsidR="00264E22">
        <w:t xml:space="preserve">hydraulic electric instantaneous water heaters </w:t>
      </w:r>
      <w:r>
        <w:t>(HEIWH) for a real daily usage.</w:t>
      </w:r>
    </w:p>
    <w:p w:rsidR="00F1175C" w:rsidRDefault="003413BC" w:rsidP="00F1175C">
      <w:r>
        <w:t>M</w:t>
      </w:r>
      <w:r w:rsidR="00F1175C">
        <w:t>anufacturers of EEIWH</w:t>
      </w:r>
      <w:r w:rsidR="00264E22">
        <w:t>s</w:t>
      </w:r>
      <w:r w:rsidR="00F1175C">
        <w:t xml:space="preserve"> might indicate in the product fiche (Annex IV of regulation 2013/812/EU) th</w:t>
      </w:r>
      <w:r>
        <w:t>at the product</w:t>
      </w:r>
      <w:r w:rsidR="00F1175C">
        <w:t xml:space="preserve"> saves energy when compared with hydraulic electric inst</w:t>
      </w:r>
      <w:r w:rsidR="00C74367">
        <w:t>antaneous water heaters (HEIWH).</w:t>
      </w:r>
    </w:p>
    <w:p w:rsidR="00782CAD" w:rsidRDefault="00782CAD" w:rsidP="00F1175C">
      <w:pPr>
        <w:rPr>
          <w:b/>
          <w:i/>
        </w:rPr>
      </w:pPr>
      <w:r>
        <w:rPr>
          <w:b/>
          <w:i/>
        </w:rPr>
        <w:t>How can cogeneration space heaters that also provide domestic hot water be labelled?</w:t>
      </w:r>
    </w:p>
    <w:p w:rsidR="00782CAD" w:rsidRPr="00811080" w:rsidRDefault="007012FA" w:rsidP="00811080">
      <w:r>
        <w:t xml:space="preserve">Cogeneration space heaters are defined as space heaters that simultaneously generate heat and electricity in a single process. In principle, they can also be designed to also provide heat to deliver hot drinking or sanitary water at given temperature levels, </w:t>
      </w:r>
      <w:r w:rsidRPr="00811080">
        <w:t>quantities and flow rates during given intervals and be connected to an external supply of drinking or sanitary water.</w:t>
      </w:r>
    </w:p>
    <w:p w:rsidR="007012FA" w:rsidRPr="00811080" w:rsidRDefault="007012FA" w:rsidP="00811080">
      <w:r w:rsidRPr="00811080">
        <w:t>In such case</w:t>
      </w:r>
      <w:r w:rsidR="00264E22">
        <w:t>s</w:t>
      </w:r>
      <w:r w:rsidRPr="00811080">
        <w:t>, information about their water heating energy efficiency can also be provided in the energy label, by using one of the following two options:</w:t>
      </w:r>
    </w:p>
    <w:p w:rsidR="007012FA" w:rsidRDefault="00811080" w:rsidP="00811080">
      <w:pPr>
        <w:pStyle w:val="ListParagraph"/>
        <w:numPr>
          <w:ilvl w:val="0"/>
          <w:numId w:val="25"/>
        </w:numPr>
        <w:jc w:val="both"/>
        <w:rPr>
          <w:rFonts w:ascii="Times New Roman" w:hAnsi="Times New Roman"/>
          <w:sz w:val="24"/>
          <w:szCs w:val="24"/>
        </w:rPr>
      </w:pPr>
      <w:r w:rsidRPr="00811080">
        <w:rPr>
          <w:rFonts w:ascii="Times New Roman" w:hAnsi="Times New Roman"/>
          <w:sz w:val="24"/>
          <w:szCs w:val="24"/>
        </w:rPr>
        <w:t>Use the labels foreseen in Regulation 811/2013 for cogeneration space heaters and for combination heaters</w:t>
      </w:r>
      <w:r>
        <w:rPr>
          <w:rFonts w:ascii="Times New Roman" w:hAnsi="Times New Roman"/>
          <w:sz w:val="24"/>
          <w:szCs w:val="24"/>
        </w:rPr>
        <w:t>.</w:t>
      </w:r>
    </w:p>
    <w:p w:rsidR="00811080" w:rsidRDefault="00811080" w:rsidP="00811080">
      <w:pPr>
        <w:pStyle w:val="ListParagraph"/>
        <w:numPr>
          <w:ilvl w:val="0"/>
          <w:numId w:val="25"/>
        </w:numPr>
        <w:jc w:val="both"/>
        <w:rPr>
          <w:rFonts w:ascii="Times New Roman" w:hAnsi="Times New Roman"/>
          <w:sz w:val="24"/>
          <w:szCs w:val="24"/>
        </w:rPr>
      </w:pPr>
      <w:r>
        <w:rPr>
          <w:rFonts w:ascii="Times New Roman" w:hAnsi="Times New Roman"/>
          <w:sz w:val="24"/>
          <w:szCs w:val="24"/>
        </w:rPr>
        <w:t>Use the label foreseen in Regulation 811/2013 for combination heaters including the pictogram corresponding to the electricity function.</w:t>
      </w:r>
    </w:p>
    <w:p w:rsidR="00811080" w:rsidRDefault="00811080" w:rsidP="00811080">
      <w:r>
        <w:t>It is to be noted that the seasonal space heating energy efficiency of combination heaters needs to be determined according to point 3 of Annex VII of Regulation 811/2013. In the case of their water heating energy efficiency, point 5 needs to be applied, which mean that their electrical efficiency is only taken into account for the determination of their seasonal space heating energy efficiency.</w:t>
      </w:r>
    </w:p>
    <w:p w:rsidR="006B2B07" w:rsidRPr="006B2B07" w:rsidRDefault="006B2B07" w:rsidP="006B2B07">
      <w:pPr>
        <w:rPr>
          <w:b/>
          <w:i/>
        </w:rPr>
      </w:pPr>
      <w:r w:rsidRPr="006B2B07">
        <w:rPr>
          <w:b/>
          <w:i/>
        </w:rPr>
        <w:t xml:space="preserve">Have solar hot water storage tanks (solar devices designed to be connected to solar collectors) to comply with </w:t>
      </w:r>
      <w:proofErr w:type="spellStart"/>
      <w:r w:rsidRPr="006B2B07">
        <w:rPr>
          <w:b/>
          <w:i/>
        </w:rPr>
        <w:t>ErP</w:t>
      </w:r>
      <w:proofErr w:type="spellEnd"/>
      <w:r w:rsidRPr="006B2B07">
        <w:rPr>
          <w:b/>
          <w:i/>
        </w:rPr>
        <w:t xml:space="preserve"> requirements and to be labelled as hot water storage tanks?</w:t>
      </w:r>
    </w:p>
    <w:p w:rsidR="006B2B07" w:rsidRDefault="006B2B07" w:rsidP="006B2B07">
      <w:r>
        <w:t>A solar hot water storage tank is a subcategory of a hot water storage tank and has in consequence to meet the relevant requirements under the Regulations.</w:t>
      </w:r>
    </w:p>
    <w:p w:rsidR="006B2B07" w:rsidRPr="00A2625C" w:rsidRDefault="00A2625C" w:rsidP="006B2B07">
      <w:pPr>
        <w:rPr>
          <w:b/>
          <w:i/>
        </w:rPr>
      </w:pPr>
      <w:r w:rsidRPr="00A2625C">
        <w:rPr>
          <w:b/>
          <w:i/>
        </w:rPr>
        <w:t>Ho</w:t>
      </w:r>
      <w:r w:rsidR="006B2B07" w:rsidRPr="00A2625C">
        <w:rPr>
          <w:b/>
          <w:i/>
        </w:rPr>
        <w:t xml:space="preserve">w could be defined a product made by a solar hot water storage tank specifically designed and connected with a solar collector, an electrical resistance and a bracket, put on the market as one single unit? </w:t>
      </w:r>
    </w:p>
    <w:p w:rsidR="00A2625C" w:rsidRDefault="00A2625C" w:rsidP="006B2B07">
      <w:r>
        <w:t>If the electrical resistance operates</w:t>
      </w:r>
      <w:r w:rsidR="0082795A">
        <w:t xml:space="preserve"> as a backup immersion heater (thus, it generates heat only when the solar heat source is not sufficient to satisfy the required comfort levels), then the product is a solar only system.</w:t>
      </w:r>
    </w:p>
    <w:p w:rsidR="0082795A" w:rsidRDefault="00A2625C" w:rsidP="006B2B07">
      <w:r>
        <w:t>I</w:t>
      </w:r>
      <w:r w:rsidR="006B2B07">
        <w:t>f the electrical resistance is not a backup immersion heater, this product must be considered as a s</w:t>
      </w:r>
      <w:r w:rsidR="0082795A">
        <w:t>olar water heater.</w:t>
      </w:r>
    </w:p>
    <w:p w:rsidR="006B2B07" w:rsidRPr="00DF2B95" w:rsidRDefault="00DF2B95" w:rsidP="006B2B07">
      <w:pPr>
        <w:rPr>
          <w:b/>
          <w:i/>
        </w:rPr>
      </w:pPr>
      <w:r w:rsidRPr="00DF2B95">
        <w:rPr>
          <w:b/>
          <w:i/>
        </w:rPr>
        <w:lastRenderedPageBreak/>
        <w:t>H</w:t>
      </w:r>
      <w:r w:rsidR="006B2B07" w:rsidRPr="00DF2B95">
        <w:rPr>
          <w:b/>
          <w:i/>
        </w:rPr>
        <w:t>ow is it defined a product made by a solar hot water storage tank with a pump and a controller placed on the market as one single unit? How shall it be labelled?</w:t>
      </w:r>
    </w:p>
    <w:p w:rsidR="006B2B07" w:rsidRDefault="00DF2B95" w:rsidP="006B2B07">
      <w:r>
        <w:t>I</w:t>
      </w:r>
      <w:r w:rsidR="006B2B07">
        <w:t>t is a solar hot water storage tank</w:t>
      </w:r>
      <w:r>
        <w:t>, with a pump and a controller</w:t>
      </w:r>
      <w:r w:rsidR="006B2B07">
        <w:t xml:space="preserve"> as defined by Reg</w:t>
      </w:r>
      <w:r w:rsidR="00A2625C">
        <w:t>ulation</w:t>
      </w:r>
      <w:r w:rsidR="006B2B07">
        <w:t xml:space="preserve"> 812/2013 Annex I, point 39. It cannot be considered as solar only system because solar collectors are missing.</w:t>
      </w:r>
    </w:p>
    <w:p w:rsidR="006B2B07" w:rsidRPr="00A2625C" w:rsidRDefault="00A2625C" w:rsidP="006B2B07">
      <w:pPr>
        <w:rPr>
          <w:b/>
          <w:i/>
        </w:rPr>
      </w:pPr>
      <w:proofErr w:type="gramStart"/>
      <w:r w:rsidRPr="00A2625C">
        <w:rPr>
          <w:b/>
          <w:i/>
        </w:rPr>
        <w:t>H</w:t>
      </w:r>
      <w:r w:rsidR="006B2B07" w:rsidRPr="00A2625C">
        <w:rPr>
          <w:b/>
          <w:i/>
        </w:rPr>
        <w:t xml:space="preserve">ow to label a water heater with a rated heat output &lt; 70 kW, declared </w:t>
      </w:r>
      <w:proofErr w:type="spellStart"/>
      <w:r w:rsidR="006B2B07" w:rsidRPr="00A2625C">
        <w:rPr>
          <w:b/>
          <w:i/>
        </w:rPr>
        <w:t>ErP</w:t>
      </w:r>
      <w:proofErr w:type="spellEnd"/>
      <w:r w:rsidR="006B2B07" w:rsidRPr="00A2625C">
        <w:rPr>
          <w:b/>
          <w:i/>
        </w:rPr>
        <w:t xml:space="preserve"> compliant according to load profile 4XL (Reg. 814/2013).</w:t>
      </w:r>
      <w:proofErr w:type="gramEnd"/>
      <w:r w:rsidR="006B2B07" w:rsidRPr="00A2625C">
        <w:rPr>
          <w:b/>
          <w:i/>
        </w:rPr>
        <w:t xml:space="preserve"> Is it correct to label this appliance using load profile 2XL (the highest one given by the Labelling regulation 812/2013)?</w:t>
      </w:r>
    </w:p>
    <w:p w:rsidR="006B2B07" w:rsidRDefault="00A2625C" w:rsidP="006B2B07">
      <w:r>
        <w:t>The water heater is in the scope of the energy labelling Regulation and in consequence needs to be labelled. The load profile to be used is one of the load profiles provided in such Regulation.</w:t>
      </w:r>
    </w:p>
    <w:p w:rsidR="006B2B07" w:rsidRPr="00A2625C" w:rsidRDefault="006B2B07" w:rsidP="006B2B07">
      <w:pPr>
        <w:rPr>
          <w:b/>
          <w:i/>
        </w:rPr>
      </w:pPr>
      <w:r w:rsidRPr="00A2625C">
        <w:rPr>
          <w:b/>
          <w:i/>
        </w:rPr>
        <w:t>For heat pump water heaters which use ventilation exhaust air or indoor air or brine or water as the heat source, how to fill in the data for the colder and warmer conditions (these conditions do not ap</w:t>
      </w:r>
      <w:r w:rsidR="00A2625C">
        <w:rPr>
          <w:b/>
          <w:i/>
        </w:rPr>
        <w:t>ply to these kinds of products)</w:t>
      </w:r>
      <w:r w:rsidRPr="00A2625C">
        <w:rPr>
          <w:b/>
          <w:i/>
        </w:rPr>
        <w:t>?</w:t>
      </w:r>
    </w:p>
    <w:p w:rsidR="006B2B07" w:rsidRDefault="00A2625C" w:rsidP="006B2B07">
      <w:r>
        <w:t xml:space="preserve">In the case of heat pumps using indoor air, exhaust air, brine or water as a heat source, there is no possible differentiation according to climate </w:t>
      </w:r>
      <w:proofErr w:type="gramStart"/>
      <w:r>
        <w:t>conditions,</w:t>
      </w:r>
      <w:proofErr w:type="gramEnd"/>
      <w:r>
        <w:t xml:space="preserve"> in this case, the values to be used for the three climates can be the same.</w:t>
      </w:r>
    </w:p>
    <w:p w:rsidR="006B2B07" w:rsidRPr="00A2625C" w:rsidRDefault="006B2B07" w:rsidP="006B2B07">
      <w:pPr>
        <w:rPr>
          <w:b/>
          <w:i/>
        </w:rPr>
      </w:pPr>
      <w:r w:rsidRPr="00A2625C">
        <w:rPr>
          <w:b/>
          <w:i/>
        </w:rPr>
        <w:t>Does the maximum tapping profile be used to test water heaters &lt; 400kW having a rated capacity exceeding tapping profile 4XL?</w:t>
      </w:r>
    </w:p>
    <w:p w:rsidR="006B2B07" w:rsidRDefault="00A2625C" w:rsidP="006B2B07">
      <w:r>
        <w:t>The water heater is in the scope of Regulation 814/2013 and in consequence needs to meet the minimum requirements set. The water heater is to be tested with the highest declared tapping profile (e.g. 4XL).</w:t>
      </w:r>
    </w:p>
    <w:sectPr w:rsidR="006B2B0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EC8" w:rsidRDefault="00456EC8" w:rsidP="00287E6F">
      <w:pPr>
        <w:spacing w:before="0" w:after="0"/>
      </w:pPr>
      <w:r>
        <w:separator/>
      </w:r>
    </w:p>
  </w:endnote>
  <w:endnote w:type="continuationSeparator" w:id="0">
    <w:p w:rsidR="00456EC8" w:rsidRDefault="00456EC8" w:rsidP="00287E6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EC8" w:rsidRDefault="00456E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EC8" w:rsidRPr="00566DCA" w:rsidRDefault="00456EC8" w:rsidP="00566DCA">
    <w:pPr>
      <w:pStyle w:val="Footer"/>
      <w:jc w:val="center"/>
    </w:pPr>
    <w:r>
      <w:fldChar w:fldCharType="begin"/>
    </w:r>
    <w:r>
      <w:instrText xml:space="preserve"> PAGE   \* MERGEFORMAT </w:instrText>
    </w:r>
    <w:r>
      <w:fldChar w:fldCharType="separate"/>
    </w:r>
    <w:r w:rsidR="009B2939">
      <w:rPr>
        <w:noProof/>
      </w:rPr>
      <w:t>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EC8" w:rsidRDefault="00456E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EC8" w:rsidRDefault="00456EC8" w:rsidP="00287E6F">
      <w:pPr>
        <w:spacing w:before="0" w:after="0"/>
      </w:pPr>
      <w:r>
        <w:separator/>
      </w:r>
    </w:p>
  </w:footnote>
  <w:footnote w:type="continuationSeparator" w:id="0">
    <w:p w:rsidR="00456EC8" w:rsidRDefault="00456EC8" w:rsidP="00287E6F">
      <w:pPr>
        <w:spacing w:before="0" w:after="0"/>
      </w:pPr>
      <w:r>
        <w:continuationSeparator/>
      </w:r>
    </w:p>
  </w:footnote>
  <w:footnote w:id="1">
    <w:p w:rsidR="00456EC8" w:rsidRPr="00203084" w:rsidRDefault="00456EC8">
      <w:pPr>
        <w:pStyle w:val="FootnoteText"/>
        <w:rPr>
          <w:lang w:val="pl-PL"/>
        </w:rPr>
      </w:pPr>
      <w:r>
        <w:rPr>
          <w:rStyle w:val="FootnoteReference"/>
        </w:rPr>
        <w:footnoteRef/>
      </w:r>
      <w:r w:rsidRPr="00203084">
        <w:rPr>
          <w:lang w:val="pl-PL"/>
        </w:rPr>
        <w:t xml:space="preserve"> </w:t>
      </w:r>
      <w:r w:rsidRPr="00203084">
        <w:rPr>
          <w:lang w:val="pl-PL"/>
        </w:rPr>
        <w:tab/>
        <w:t>OJ L 2</w:t>
      </w:r>
      <w:r>
        <w:rPr>
          <w:lang w:val="pl-PL"/>
        </w:rPr>
        <w:t>3</w:t>
      </w:r>
      <w:r w:rsidRPr="00203084">
        <w:rPr>
          <w:lang w:val="pl-PL"/>
        </w:rPr>
        <w:t xml:space="preserve">9, 6.9.2013, </w:t>
      </w:r>
      <w:proofErr w:type="gramStart"/>
      <w:r w:rsidRPr="00203084">
        <w:rPr>
          <w:lang w:val="pl-PL"/>
        </w:rPr>
        <w:t>p</w:t>
      </w:r>
      <w:proofErr w:type="gramEnd"/>
      <w:r w:rsidRPr="00203084">
        <w:rPr>
          <w:lang w:val="pl-PL"/>
        </w:rPr>
        <w:t>. 1.</w:t>
      </w:r>
    </w:p>
  </w:footnote>
  <w:footnote w:id="2">
    <w:p w:rsidR="00456EC8" w:rsidRPr="00203084" w:rsidRDefault="00456EC8">
      <w:pPr>
        <w:pStyle w:val="FootnoteText"/>
        <w:rPr>
          <w:lang w:val="pl-PL"/>
        </w:rPr>
      </w:pPr>
      <w:r>
        <w:rPr>
          <w:rStyle w:val="FootnoteReference"/>
        </w:rPr>
        <w:footnoteRef/>
      </w:r>
      <w:r w:rsidRPr="00203084">
        <w:rPr>
          <w:lang w:val="pl-PL"/>
        </w:rPr>
        <w:t xml:space="preserve"> </w:t>
      </w:r>
      <w:r w:rsidRPr="00203084">
        <w:rPr>
          <w:lang w:val="pl-PL"/>
        </w:rPr>
        <w:tab/>
        <w:t>OJ L 2</w:t>
      </w:r>
      <w:r>
        <w:rPr>
          <w:lang w:val="pl-PL"/>
        </w:rPr>
        <w:t>3</w:t>
      </w:r>
      <w:r w:rsidRPr="00203084">
        <w:rPr>
          <w:lang w:val="pl-PL"/>
        </w:rPr>
        <w:t xml:space="preserve">9, 6.9.2013, </w:t>
      </w:r>
      <w:proofErr w:type="gramStart"/>
      <w:r w:rsidRPr="00203084">
        <w:rPr>
          <w:lang w:val="pl-PL"/>
        </w:rPr>
        <w:t>p</w:t>
      </w:r>
      <w:proofErr w:type="gramEnd"/>
      <w:r w:rsidRPr="00203084">
        <w:rPr>
          <w:lang w:val="pl-PL"/>
        </w:rPr>
        <w:t xml:space="preserve">. </w:t>
      </w:r>
      <w:r>
        <w:rPr>
          <w:lang w:val="pl-PL"/>
        </w:rPr>
        <w:t>83,</w:t>
      </w:r>
    </w:p>
  </w:footnote>
  <w:footnote w:id="3">
    <w:p w:rsidR="00456EC8" w:rsidRPr="00203084" w:rsidRDefault="00456EC8">
      <w:pPr>
        <w:pStyle w:val="FootnoteText"/>
        <w:rPr>
          <w:lang w:val="pl-PL"/>
        </w:rPr>
      </w:pPr>
      <w:r>
        <w:rPr>
          <w:rStyle w:val="FootnoteReference"/>
        </w:rPr>
        <w:footnoteRef/>
      </w:r>
      <w:r w:rsidRPr="00203084">
        <w:rPr>
          <w:lang w:val="pl-PL"/>
        </w:rPr>
        <w:t xml:space="preserve"> </w:t>
      </w:r>
      <w:r w:rsidRPr="00203084">
        <w:rPr>
          <w:lang w:val="pl-PL"/>
        </w:rPr>
        <w:tab/>
        <w:t>OJ L</w:t>
      </w:r>
      <w:r>
        <w:rPr>
          <w:lang w:val="pl-PL"/>
        </w:rPr>
        <w:t xml:space="preserve"> 239, 6.9.2013, </w:t>
      </w:r>
      <w:proofErr w:type="gramStart"/>
      <w:r>
        <w:rPr>
          <w:lang w:val="pl-PL"/>
        </w:rPr>
        <w:t>p</w:t>
      </w:r>
      <w:proofErr w:type="gramEnd"/>
      <w:r>
        <w:rPr>
          <w:lang w:val="pl-PL"/>
        </w:rPr>
        <w:t>. 136.</w:t>
      </w:r>
    </w:p>
  </w:footnote>
  <w:footnote w:id="4">
    <w:p w:rsidR="00456EC8" w:rsidRPr="00203084" w:rsidRDefault="00456EC8">
      <w:pPr>
        <w:pStyle w:val="FootnoteText"/>
        <w:rPr>
          <w:lang w:val="pl-PL"/>
        </w:rPr>
      </w:pPr>
      <w:r>
        <w:rPr>
          <w:rStyle w:val="FootnoteReference"/>
        </w:rPr>
        <w:footnoteRef/>
      </w:r>
      <w:r w:rsidRPr="00203084">
        <w:rPr>
          <w:lang w:val="pl-PL"/>
        </w:rPr>
        <w:t xml:space="preserve"> </w:t>
      </w:r>
      <w:r w:rsidRPr="00203084">
        <w:rPr>
          <w:lang w:val="pl-PL"/>
        </w:rPr>
        <w:tab/>
        <w:t>OJ L</w:t>
      </w:r>
      <w:r>
        <w:rPr>
          <w:lang w:val="pl-PL"/>
        </w:rPr>
        <w:t xml:space="preserve"> 239, 6.9.2013, </w:t>
      </w:r>
      <w:proofErr w:type="gramStart"/>
      <w:r>
        <w:rPr>
          <w:lang w:val="pl-PL"/>
        </w:rPr>
        <w:t>p</w:t>
      </w:r>
      <w:proofErr w:type="gramEnd"/>
      <w:r>
        <w:rPr>
          <w:lang w:val="pl-PL"/>
        </w:rPr>
        <w:t>. 162.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EC8" w:rsidRDefault="00456E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EC8" w:rsidRDefault="00456EC8" w:rsidP="00C62983">
    <w:pPr>
      <w:pStyle w:val="Header"/>
      <w:spacing w:before="0" w:after="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EC8" w:rsidRDefault="00456E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5C82"/>
    <w:multiLevelType w:val="hybridMultilevel"/>
    <w:tmpl w:val="582E68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16807008"/>
    <w:multiLevelType w:val="hybridMultilevel"/>
    <w:tmpl w:val="84A8811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8DE2E79"/>
    <w:multiLevelType w:val="hybridMultilevel"/>
    <w:tmpl w:val="4E22EEB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nsid w:val="22E44180"/>
    <w:multiLevelType w:val="multilevel"/>
    <w:tmpl w:val="825C8C12"/>
    <w:name w:val="0.9901959"/>
    <w:lvl w:ilvl="0">
      <w:start w:val="3"/>
      <w:numFmt w:val="decimal"/>
      <w:lvlRestart w:val="0"/>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5">
    <w:nsid w:val="30A3186E"/>
    <w:multiLevelType w:val="hybridMultilevel"/>
    <w:tmpl w:val="E43ED61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7">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8">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9">
    <w:nsid w:val="47D8696F"/>
    <w:multiLevelType w:val="hybridMultilevel"/>
    <w:tmpl w:val="7152BA64"/>
    <w:lvl w:ilvl="0" w:tplc="2C4CA566">
      <w:start w:val="1"/>
      <w:numFmt w:val="decimal"/>
      <w:pStyle w:val="Question"/>
      <w:lvlText w:val="Q%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1">
    <w:nsid w:val="496A1BC0"/>
    <w:multiLevelType w:val="hybridMultilevel"/>
    <w:tmpl w:val="2FCABF5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2">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14">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6">
    <w:nsid w:val="61F6624F"/>
    <w:multiLevelType w:val="hybridMultilevel"/>
    <w:tmpl w:val="967458E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7">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18">
    <w:nsid w:val="62A47AF4"/>
    <w:multiLevelType w:val="hybridMultilevel"/>
    <w:tmpl w:val="5E5A269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9">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20">
    <w:nsid w:val="6D6E7127"/>
    <w:multiLevelType w:val="hybridMultilevel"/>
    <w:tmpl w:val="71205BD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1">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5C26F71"/>
    <w:multiLevelType w:val="multilevel"/>
    <w:tmpl w:val="E01E770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7AD7EC8"/>
    <w:multiLevelType w:val="hybridMultilevel"/>
    <w:tmpl w:val="0B5648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12"/>
  </w:num>
  <w:num w:numId="2">
    <w:abstractNumId w:val="4"/>
  </w:num>
  <w:num w:numId="3">
    <w:abstractNumId w:val="15"/>
  </w:num>
  <w:num w:numId="4">
    <w:abstractNumId w:val="14"/>
  </w:num>
  <w:num w:numId="5">
    <w:abstractNumId w:val="10"/>
  </w:num>
  <w:num w:numId="6">
    <w:abstractNumId w:val="19"/>
  </w:num>
  <w:num w:numId="7">
    <w:abstractNumId w:val="22"/>
  </w:num>
  <w:num w:numId="8">
    <w:abstractNumId w:val="22"/>
  </w:num>
  <w:num w:numId="9">
    <w:abstractNumId w:val="21"/>
  </w:num>
  <w:num w:numId="10">
    <w:abstractNumId w:val="24"/>
  </w:num>
  <w:num w:numId="11">
    <w:abstractNumId w:val="7"/>
  </w:num>
  <w:num w:numId="12">
    <w:abstractNumId w:val="6"/>
  </w:num>
  <w:num w:numId="13">
    <w:abstractNumId w:val="17"/>
  </w:num>
  <w:num w:numId="14">
    <w:abstractNumId w:val="8"/>
  </w:num>
  <w:num w:numId="15">
    <w:abstractNumId w:val="13"/>
  </w:num>
  <w:num w:numId="16">
    <w:abstractNumId w:val="9"/>
  </w:num>
  <w:num w:numId="17">
    <w:abstractNumId w:val="0"/>
  </w:num>
  <w:num w:numId="18">
    <w:abstractNumId w:val="5"/>
  </w:num>
  <w:num w:numId="19">
    <w:abstractNumId w:val="18"/>
  </w:num>
  <w:num w:numId="20">
    <w:abstractNumId w:val="2"/>
  </w:num>
  <w:num w:numId="21">
    <w:abstractNumId w:val="23"/>
  </w:num>
  <w:num w:numId="22">
    <w:abstractNumId w:val="16"/>
  </w:num>
  <w:num w:numId="23">
    <w:abstractNumId w:val="1"/>
  </w:num>
  <w:num w:numId="24">
    <w:abstractNumId w:val="11"/>
  </w:num>
  <w:num w:numId="25">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643CD"/>
    <w:rsid w:val="00017752"/>
    <w:rsid w:val="00031A5A"/>
    <w:rsid w:val="00037C38"/>
    <w:rsid w:val="00047FC8"/>
    <w:rsid w:val="00054D8D"/>
    <w:rsid w:val="00056D47"/>
    <w:rsid w:val="0006440B"/>
    <w:rsid w:val="00094173"/>
    <w:rsid w:val="000A3B64"/>
    <w:rsid w:val="000C42E9"/>
    <w:rsid w:val="000E43E7"/>
    <w:rsid w:val="000F2C91"/>
    <w:rsid w:val="001108AE"/>
    <w:rsid w:val="001166FB"/>
    <w:rsid w:val="00117025"/>
    <w:rsid w:val="0012106F"/>
    <w:rsid w:val="00125621"/>
    <w:rsid w:val="0012706A"/>
    <w:rsid w:val="00130F89"/>
    <w:rsid w:val="0014262C"/>
    <w:rsid w:val="00142F91"/>
    <w:rsid w:val="00147B3C"/>
    <w:rsid w:val="00154F4D"/>
    <w:rsid w:val="00183015"/>
    <w:rsid w:val="0018696E"/>
    <w:rsid w:val="001A3BD1"/>
    <w:rsid w:val="001A7867"/>
    <w:rsid w:val="001D5B4A"/>
    <w:rsid w:val="001E0109"/>
    <w:rsid w:val="001E0D58"/>
    <w:rsid w:val="001E2EE3"/>
    <w:rsid w:val="001F233F"/>
    <w:rsid w:val="00200628"/>
    <w:rsid w:val="0020199F"/>
    <w:rsid w:val="00203084"/>
    <w:rsid w:val="0020505C"/>
    <w:rsid w:val="00211AA3"/>
    <w:rsid w:val="00214E26"/>
    <w:rsid w:val="00231974"/>
    <w:rsid w:val="00235FB7"/>
    <w:rsid w:val="002365DA"/>
    <w:rsid w:val="00242A10"/>
    <w:rsid w:val="002433D5"/>
    <w:rsid w:val="00244521"/>
    <w:rsid w:val="00263F8E"/>
    <w:rsid w:val="00264E22"/>
    <w:rsid w:val="00273513"/>
    <w:rsid w:val="00282E94"/>
    <w:rsid w:val="00287E6F"/>
    <w:rsid w:val="002954F1"/>
    <w:rsid w:val="002A06E1"/>
    <w:rsid w:val="002A56BD"/>
    <w:rsid w:val="002B00D2"/>
    <w:rsid w:val="002C49F2"/>
    <w:rsid w:val="002D02FC"/>
    <w:rsid w:val="002D2412"/>
    <w:rsid w:val="002E2383"/>
    <w:rsid w:val="002E6308"/>
    <w:rsid w:val="002F01CE"/>
    <w:rsid w:val="0030489E"/>
    <w:rsid w:val="00331470"/>
    <w:rsid w:val="00331A05"/>
    <w:rsid w:val="003413BC"/>
    <w:rsid w:val="003414A8"/>
    <w:rsid w:val="00343E81"/>
    <w:rsid w:val="00364A2A"/>
    <w:rsid w:val="0037256C"/>
    <w:rsid w:val="00381A6E"/>
    <w:rsid w:val="00384433"/>
    <w:rsid w:val="00387232"/>
    <w:rsid w:val="00394457"/>
    <w:rsid w:val="003B7F50"/>
    <w:rsid w:val="003D2515"/>
    <w:rsid w:val="003E3578"/>
    <w:rsid w:val="003E5799"/>
    <w:rsid w:val="003F0BA2"/>
    <w:rsid w:val="004020AE"/>
    <w:rsid w:val="00406DCE"/>
    <w:rsid w:val="004075B9"/>
    <w:rsid w:val="004202E5"/>
    <w:rsid w:val="00424E47"/>
    <w:rsid w:val="00432FE3"/>
    <w:rsid w:val="004347CC"/>
    <w:rsid w:val="00441DAD"/>
    <w:rsid w:val="00451C74"/>
    <w:rsid w:val="00456EC8"/>
    <w:rsid w:val="00457312"/>
    <w:rsid w:val="0048382E"/>
    <w:rsid w:val="004A562F"/>
    <w:rsid w:val="004A6741"/>
    <w:rsid w:val="004B52D4"/>
    <w:rsid w:val="004C1A32"/>
    <w:rsid w:val="004D7A0F"/>
    <w:rsid w:val="00510A9D"/>
    <w:rsid w:val="00532B86"/>
    <w:rsid w:val="00532DC7"/>
    <w:rsid w:val="00555775"/>
    <w:rsid w:val="005643CD"/>
    <w:rsid w:val="005659D4"/>
    <w:rsid w:val="00566DCA"/>
    <w:rsid w:val="0057459F"/>
    <w:rsid w:val="00577D78"/>
    <w:rsid w:val="00585777"/>
    <w:rsid w:val="00592387"/>
    <w:rsid w:val="005A6EF8"/>
    <w:rsid w:val="005A70B8"/>
    <w:rsid w:val="005A757E"/>
    <w:rsid w:val="005B4AB1"/>
    <w:rsid w:val="005B7E0A"/>
    <w:rsid w:val="005C7BD4"/>
    <w:rsid w:val="005D2179"/>
    <w:rsid w:val="005E6987"/>
    <w:rsid w:val="005F07B7"/>
    <w:rsid w:val="005F2286"/>
    <w:rsid w:val="005F740B"/>
    <w:rsid w:val="00600C71"/>
    <w:rsid w:val="006054EB"/>
    <w:rsid w:val="006305C3"/>
    <w:rsid w:val="00656874"/>
    <w:rsid w:val="006677CA"/>
    <w:rsid w:val="006861D7"/>
    <w:rsid w:val="00687707"/>
    <w:rsid w:val="006B2B07"/>
    <w:rsid w:val="006B2B41"/>
    <w:rsid w:val="006B5BC0"/>
    <w:rsid w:val="006C3DBD"/>
    <w:rsid w:val="006D4A3B"/>
    <w:rsid w:val="006E6356"/>
    <w:rsid w:val="006F0EEC"/>
    <w:rsid w:val="007012FA"/>
    <w:rsid w:val="00704DD0"/>
    <w:rsid w:val="007319ED"/>
    <w:rsid w:val="00731B49"/>
    <w:rsid w:val="00732D50"/>
    <w:rsid w:val="007615C4"/>
    <w:rsid w:val="00771502"/>
    <w:rsid w:val="0077310A"/>
    <w:rsid w:val="00774976"/>
    <w:rsid w:val="007749BC"/>
    <w:rsid w:val="00782CAD"/>
    <w:rsid w:val="00785C9F"/>
    <w:rsid w:val="007A5483"/>
    <w:rsid w:val="007C02B1"/>
    <w:rsid w:val="007D3C16"/>
    <w:rsid w:val="007E0C98"/>
    <w:rsid w:val="007E38FE"/>
    <w:rsid w:val="007E4546"/>
    <w:rsid w:val="007F22CA"/>
    <w:rsid w:val="007F2D39"/>
    <w:rsid w:val="00803A15"/>
    <w:rsid w:val="00811080"/>
    <w:rsid w:val="0082198C"/>
    <w:rsid w:val="00823173"/>
    <w:rsid w:val="00823D04"/>
    <w:rsid w:val="0082795A"/>
    <w:rsid w:val="00841C08"/>
    <w:rsid w:val="00847713"/>
    <w:rsid w:val="00851C69"/>
    <w:rsid w:val="00857758"/>
    <w:rsid w:val="008725B7"/>
    <w:rsid w:val="008A19D2"/>
    <w:rsid w:val="008B1316"/>
    <w:rsid w:val="008B6FED"/>
    <w:rsid w:val="008D382F"/>
    <w:rsid w:val="0090303F"/>
    <w:rsid w:val="00934617"/>
    <w:rsid w:val="00934813"/>
    <w:rsid w:val="009432D9"/>
    <w:rsid w:val="00963C32"/>
    <w:rsid w:val="00976632"/>
    <w:rsid w:val="00977F41"/>
    <w:rsid w:val="00990551"/>
    <w:rsid w:val="009B0856"/>
    <w:rsid w:val="009B2939"/>
    <w:rsid w:val="009C3B3F"/>
    <w:rsid w:val="009D28F3"/>
    <w:rsid w:val="009D4792"/>
    <w:rsid w:val="009D7780"/>
    <w:rsid w:val="009E2CD3"/>
    <w:rsid w:val="009E5061"/>
    <w:rsid w:val="009F38D8"/>
    <w:rsid w:val="00A118E6"/>
    <w:rsid w:val="00A2625C"/>
    <w:rsid w:val="00A561D0"/>
    <w:rsid w:val="00A60D3A"/>
    <w:rsid w:val="00A668C5"/>
    <w:rsid w:val="00A70CAB"/>
    <w:rsid w:val="00A73339"/>
    <w:rsid w:val="00A859BA"/>
    <w:rsid w:val="00AA3F69"/>
    <w:rsid w:val="00AA629A"/>
    <w:rsid w:val="00AB190A"/>
    <w:rsid w:val="00AB3892"/>
    <w:rsid w:val="00AC37D8"/>
    <w:rsid w:val="00AC64F9"/>
    <w:rsid w:val="00AD1925"/>
    <w:rsid w:val="00AD19A0"/>
    <w:rsid w:val="00AD2461"/>
    <w:rsid w:val="00AE097D"/>
    <w:rsid w:val="00AE443E"/>
    <w:rsid w:val="00AF1919"/>
    <w:rsid w:val="00B01DFC"/>
    <w:rsid w:val="00B05B9A"/>
    <w:rsid w:val="00B1215D"/>
    <w:rsid w:val="00B31B49"/>
    <w:rsid w:val="00B45C1B"/>
    <w:rsid w:val="00B47649"/>
    <w:rsid w:val="00B52D81"/>
    <w:rsid w:val="00B6130E"/>
    <w:rsid w:val="00B66F94"/>
    <w:rsid w:val="00B67468"/>
    <w:rsid w:val="00B8055F"/>
    <w:rsid w:val="00B81067"/>
    <w:rsid w:val="00BA42BD"/>
    <w:rsid w:val="00BA7828"/>
    <w:rsid w:val="00BB03A7"/>
    <w:rsid w:val="00BB2B95"/>
    <w:rsid w:val="00BB31DD"/>
    <w:rsid w:val="00BC0F83"/>
    <w:rsid w:val="00BC7D65"/>
    <w:rsid w:val="00BD4090"/>
    <w:rsid w:val="00BF02A4"/>
    <w:rsid w:val="00BF12E3"/>
    <w:rsid w:val="00BF3007"/>
    <w:rsid w:val="00C01742"/>
    <w:rsid w:val="00C2219E"/>
    <w:rsid w:val="00C46E2C"/>
    <w:rsid w:val="00C52260"/>
    <w:rsid w:val="00C62983"/>
    <w:rsid w:val="00C74367"/>
    <w:rsid w:val="00C807DC"/>
    <w:rsid w:val="00C865CF"/>
    <w:rsid w:val="00C9229F"/>
    <w:rsid w:val="00CA3D94"/>
    <w:rsid w:val="00CA696D"/>
    <w:rsid w:val="00CC1DCB"/>
    <w:rsid w:val="00CE5F05"/>
    <w:rsid w:val="00CE7ECA"/>
    <w:rsid w:val="00D00D04"/>
    <w:rsid w:val="00D127A2"/>
    <w:rsid w:val="00D16A2D"/>
    <w:rsid w:val="00D23B19"/>
    <w:rsid w:val="00D25ABB"/>
    <w:rsid w:val="00D44BB2"/>
    <w:rsid w:val="00D4511E"/>
    <w:rsid w:val="00D470AC"/>
    <w:rsid w:val="00D50AE5"/>
    <w:rsid w:val="00D50F2B"/>
    <w:rsid w:val="00D53A02"/>
    <w:rsid w:val="00D7257F"/>
    <w:rsid w:val="00D7540E"/>
    <w:rsid w:val="00D75630"/>
    <w:rsid w:val="00D81967"/>
    <w:rsid w:val="00DA19C0"/>
    <w:rsid w:val="00DB74FD"/>
    <w:rsid w:val="00DD0A72"/>
    <w:rsid w:val="00DD4204"/>
    <w:rsid w:val="00DF1DDD"/>
    <w:rsid w:val="00DF2A18"/>
    <w:rsid w:val="00DF2B95"/>
    <w:rsid w:val="00E02330"/>
    <w:rsid w:val="00E04FFB"/>
    <w:rsid w:val="00E2668B"/>
    <w:rsid w:val="00E376D9"/>
    <w:rsid w:val="00E72994"/>
    <w:rsid w:val="00E744B7"/>
    <w:rsid w:val="00E74F74"/>
    <w:rsid w:val="00E90E3F"/>
    <w:rsid w:val="00E94987"/>
    <w:rsid w:val="00EA341E"/>
    <w:rsid w:val="00EB7432"/>
    <w:rsid w:val="00ED0CA6"/>
    <w:rsid w:val="00ED0DFE"/>
    <w:rsid w:val="00ED27A3"/>
    <w:rsid w:val="00EF59CD"/>
    <w:rsid w:val="00F05D28"/>
    <w:rsid w:val="00F1175C"/>
    <w:rsid w:val="00F21FAC"/>
    <w:rsid w:val="00F2709A"/>
    <w:rsid w:val="00F305BB"/>
    <w:rsid w:val="00F53CF1"/>
    <w:rsid w:val="00F5476F"/>
    <w:rsid w:val="00F56F35"/>
    <w:rsid w:val="00F82E98"/>
    <w:rsid w:val="00F930E2"/>
    <w:rsid w:val="00F94992"/>
    <w:rsid w:val="00FA4D22"/>
    <w:rsid w:val="00FC0EFF"/>
    <w:rsid w:val="00FC50B9"/>
    <w:rsid w:val="00FD1A0A"/>
    <w:rsid w:val="00FD3A36"/>
    <w:rsid w:val="00FE46B7"/>
    <w:rsid w:val="00FE7920"/>
    <w:rsid w:val="00FF255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643CD"/>
    <w:pPr>
      <w:spacing w:before="120" w:after="120"/>
      <w:jc w:val="both"/>
    </w:pPr>
    <w:rPr>
      <w:sz w:val="24"/>
      <w:szCs w:val="24"/>
      <w:lang w:val="en-GB" w:eastAsia="en-US"/>
    </w:rPr>
  </w:style>
  <w:style w:type="paragraph" w:styleId="Heading1">
    <w:name w:val="heading 1"/>
    <w:basedOn w:val="Normal"/>
    <w:next w:val="Normal"/>
    <w:qFormat/>
    <w:rsid w:val="005643CD"/>
    <w:pPr>
      <w:keepNext/>
      <w:numPr>
        <w:numId w:val="8"/>
      </w:numPr>
      <w:spacing w:before="360"/>
      <w:outlineLvl w:val="0"/>
    </w:pPr>
    <w:rPr>
      <w:b/>
      <w:bCs/>
      <w:smallCaps/>
      <w:szCs w:val="32"/>
    </w:rPr>
  </w:style>
  <w:style w:type="paragraph" w:styleId="Heading2">
    <w:name w:val="heading 2"/>
    <w:basedOn w:val="Normal"/>
    <w:next w:val="Normal"/>
    <w:qFormat/>
    <w:rsid w:val="005643CD"/>
    <w:pPr>
      <w:keepNext/>
      <w:numPr>
        <w:ilvl w:val="1"/>
        <w:numId w:val="8"/>
      </w:numPr>
      <w:outlineLvl w:val="1"/>
    </w:pPr>
    <w:rPr>
      <w:b/>
      <w:bCs/>
      <w:iCs/>
      <w:szCs w:val="28"/>
    </w:rPr>
  </w:style>
  <w:style w:type="paragraph" w:styleId="Heading3">
    <w:name w:val="heading 3"/>
    <w:basedOn w:val="Normal"/>
    <w:next w:val="Normal"/>
    <w:qFormat/>
    <w:rsid w:val="005643CD"/>
    <w:pPr>
      <w:keepNext/>
      <w:numPr>
        <w:ilvl w:val="2"/>
        <w:numId w:val="8"/>
      </w:numPr>
      <w:outlineLvl w:val="2"/>
    </w:pPr>
    <w:rPr>
      <w:bCs/>
      <w:i/>
      <w:szCs w:val="26"/>
    </w:rPr>
  </w:style>
  <w:style w:type="paragraph" w:styleId="Heading4">
    <w:name w:val="heading 4"/>
    <w:basedOn w:val="Normal"/>
    <w:next w:val="Normal"/>
    <w:qFormat/>
    <w:rsid w:val="005643CD"/>
    <w:pPr>
      <w:keepNext/>
      <w:numPr>
        <w:ilvl w:val="3"/>
        <w:numId w:val="8"/>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rsid w:val="005643CD"/>
    <w:pPr>
      <w:spacing w:before="0" w:after="240"/>
      <w:jc w:val="center"/>
    </w:pPr>
    <w:rPr>
      <w:b/>
      <w:i/>
    </w:rPr>
  </w:style>
  <w:style w:type="paragraph" w:customStyle="1" w:styleId="AccompagnantPagedecouverture">
    <w:name w:val="Accompagnant (Page de couverture)"/>
    <w:basedOn w:val="Accompagnant"/>
    <w:next w:val="Normal"/>
    <w:rsid w:val="005643CD"/>
  </w:style>
  <w:style w:type="character" w:customStyle="1" w:styleId="Added">
    <w:name w:val="Added"/>
    <w:rsid w:val="005643CD"/>
    <w:rPr>
      <w:b/>
      <w:u w:val="single"/>
      <w:shd w:val="clear" w:color="auto" w:fill="auto"/>
    </w:rPr>
  </w:style>
  <w:style w:type="paragraph" w:customStyle="1" w:styleId="Address">
    <w:name w:val="Address"/>
    <w:basedOn w:val="Normal"/>
    <w:next w:val="Normal"/>
    <w:rsid w:val="005643CD"/>
    <w:pPr>
      <w:keepLines/>
      <w:spacing w:line="360" w:lineRule="auto"/>
      <w:ind w:left="3402"/>
      <w:jc w:val="left"/>
    </w:pPr>
  </w:style>
  <w:style w:type="paragraph" w:customStyle="1" w:styleId="Annexetitre">
    <w:name w:val="Annexe titre"/>
    <w:basedOn w:val="Normal"/>
    <w:next w:val="Normal"/>
    <w:rsid w:val="005643CD"/>
    <w:pPr>
      <w:jc w:val="center"/>
    </w:pPr>
    <w:rPr>
      <w:b/>
      <w:u w:val="single"/>
    </w:rPr>
  </w:style>
  <w:style w:type="paragraph" w:customStyle="1" w:styleId="Annexetitreexpos">
    <w:name w:val="Annexe titre (exposé)"/>
    <w:basedOn w:val="Normal"/>
    <w:next w:val="Normal"/>
    <w:rsid w:val="005643CD"/>
    <w:pPr>
      <w:jc w:val="center"/>
    </w:pPr>
    <w:rPr>
      <w:b/>
      <w:u w:val="single"/>
    </w:rPr>
  </w:style>
  <w:style w:type="paragraph" w:customStyle="1" w:styleId="Annexetitrefichefinancire">
    <w:name w:val="Annexe titre (fiche financière)"/>
    <w:basedOn w:val="Normal"/>
    <w:next w:val="Normal"/>
    <w:rsid w:val="005643CD"/>
    <w:pPr>
      <w:jc w:val="center"/>
    </w:pPr>
    <w:rPr>
      <w:b/>
      <w:u w:val="single"/>
    </w:rPr>
  </w:style>
  <w:style w:type="paragraph" w:customStyle="1" w:styleId="Applicationdirecte">
    <w:name w:val="Application directe"/>
    <w:basedOn w:val="Normal"/>
    <w:next w:val="Normal"/>
    <w:rsid w:val="005643CD"/>
    <w:pPr>
      <w:spacing w:before="480"/>
    </w:pPr>
  </w:style>
  <w:style w:type="paragraph" w:customStyle="1" w:styleId="Avertissementtitre">
    <w:name w:val="Avertissement titre"/>
    <w:basedOn w:val="Normal"/>
    <w:next w:val="Normal"/>
    <w:rsid w:val="005643CD"/>
    <w:pPr>
      <w:keepNext/>
      <w:spacing w:before="480"/>
    </w:pPr>
    <w:rPr>
      <w:u w:val="single"/>
    </w:rPr>
  </w:style>
  <w:style w:type="paragraph" w:customStyle="1" w:styleId="Bullet0">
    <w:name w:val="Bullet 0"/>
    <w:basedOn w:val="Normal"/>
    <w:rsid w:val="005643CD"/>
    <w:pPr>
      <w:numPr>
        <w:numId w:val="1"/>
      </w:numPr>
    </w:pPr>
  </w:style>
  <w:style w:type="paragraph" w:customStyle="1" w:styleId="Bullet1">
    <w:name w:val="Bullet 1"/>
    <w:basedOn w:val="Normal"/>
    <w:rsid w:val="005643CD"/>
    <w:pPr>
      <w:numPr>
        <w:numId w:val="2"/>
      </w:numPr>
    </w:pPr>
  </w:style>
  <w:style w:type="paragraph" w:customStyle="1" w:styleId="Bullet2">
    <w:name w:val="Bullet 2"/>
    <w:basedOn w:val="Normal"/>
    <w:rsid w:val="005643CD"/>
    <w:pPr>
      <w:numPr>
        <w:numId w:val="3"/>
      </w:numPr>
    </w:pPr>
  </w:style>
  <w:style w:type="paragraph" w:customStyle="1" w:styleId="Bullet3">
    <w:name w:val="Bullet 3"/>
    <w:basedOn w:val="Normal"/>
    <w:rsid w:val="005643CD"/>
    <w:pPr>
      <w:numPr>
        <w:numId w:val="4"/>
      </w:numPr>
    </w:pPr>
  </w:style>
  <w:style w:type="paragraph" w:customStyle="1" w:styleId="Bullet4">
    <w:name w:val="Bullet 4"/>
    <w:basedOn w:val="Normal"/>
    <w:rsid w:val="005643CD"/>
    <w:pPr>
      <w:numPr>
        <w:numId w:val="5"/>
      </w:numPr>
    </w:pPr>
  </w:style>
  <w:style w:type="paragraph" w:customStyle="1" w:styleId="ChapterTitle">
    <w:name w:val="ChapterTitle"/>
    <w:basedOn w:val="Normal"/>
    <w:next w:val="Normal"/>
    <w:rsid w:val="005643CD"/>
    <w:pPr>
      <w:keepNext/>
      <w:spacing w:after="360"/>
      <w:jc w:val="center"/>
    </w:pPr>
    <w:rPr>
      <w:b/>
      <w:sz w:val="32"/>
    </w:rPr>
  </w:style>
  <w:style w:type="paragraph" w:customStyle="1" w:styleId="Confidence">
    <w:name w:val="Confidence"/>
    <w:basedOn w:val="Normal"/>
    <w:next w:val="Normal"/>
    <w:rsid w:val="005643CD"/>
    <w:pPr>
      <w:spacing w:before="360"/>
      <w:jc w:val="center"/>
    </w:pPr>
  </w:style>
  <w:style w:type="paragraph" w:customStyle="1" w:styleId="Confidentialit">
    <w:name w:val="Confidentialité"/>
    <w:basedOn w:val="Normal"/>
    <w:next w:val="Normal"/>
    <w:rsid w:val="005643CD"/>
    <w:pPr>
      <w:spacing w:before="240" w:after="240"/>
      <w:ind w:left="5103"/>
    </w:pPr>
    <w:rPr>
      <w:u w:val="single"/>
    </w:rPr>
  </w:style>
  <w:style w:type="paragraph" w:customStyle="1" w:styleId="Considrant">
    <w:name w:val="Considérant"/>
    <w:basedOn w:val="Normal"/>
    <w:rsid w:val="005643CD"/>
    <w:pPr>
      <w:numPr>
        <w:numId w:val="6"/>
      </w:numPr>
    </w:pPr>
  </w:style>
  <w:style w:type="paragraph" w:customStyle="1" w:styleId="Corrigendum">
    <w:name w:val="Corrigendum"/>
    <w:basedOn w:val="Normal"/>
    <w:next w:val="Normal"/>
    <w:rsid w:val="005643CD"/>
    <w:pPr>
      <w:spacing w:before="0" w:after="240"/>
      <w:jc w:val="left"/>
    </w:pPr>
  </w:style>
  <w:style w:type="paragraph" w:customStyle="1" w:styleId="Datedadoption">
    <w:name w:val="Date d'adoption"/>
    <w:basedOn w:val="Normal"/>
    <w:next w:val="Normal"/>
    <w:rsid w:val="005643CD"/>
    <w:pPr>
      <w:spacing w:before="360" w:after="0"/>
      <w:jc w:val="center"/>
    </w:pPr>
    <w:rPr>
      <w:b/>
    </w:rPr>
  </w:style>
  <w:style w:type="paragraph" w:customStyle="1" w:styleId="DatedadoptionPagedecouverture">
    <w:name w:val="Date d'adoption (Page de couverture)"/>
    <w:basedOn w:val="Datedadoption"/>
    <w:next w:val="Normal"/>
    <w:rsid w:val="005643CD"/>
  </w:style>
  <w:style w:type="character" w:customStyle="1" w:styleId="Deleted">
    <w:name w:val="Deleted"/>
    <w:rsid w:val="005643CD"/>
    <w:rPr>
      <w:strike/>
      <w:shd w:val="clear" w:color="auto" w:fill="auto"/>
    </w:rPr>
  </w:style>
  <w:style w:type="paragraph" w:customStyle="1" w:styleId="Emission">
    <w:name w:val="Emission"/>
    <w:basedOn w:val="Normal"/>
    <w:next w:val="Normal"/>
    <w:rsid w:val="005643CD"/>
    <w:pPr>
      <w:spacing w:before="0" w:after="0"/>
      <w:ind w:left="5103"/>
      <w:jc w:val="left"/>
    </w:pPr>
  </w:style>
  <w:style w:type="paragraph" w:customStyle="1" w:styleId="Exposdesmotifstitre">
    <w:name w:val="Exposé des motifs titre"/>
    <w:basedOn w:val="Normal"/>
    <w:next w:val="Normal"/>
    <w:rsid w:val="005643CD"/>
    <w:pPr>
      <w:jc w:val="center"/>
    </w:pPr>
    <w:rPr>
      <w:b/>
      <w:u w:val="single"/>
    </w:rPr>
  </w:style>
  <w:style w:type="paragraph" w:customStyle="1" w:styleId="Fait">
    <w:name w:val="Fait à"/>
    <w:basedOn w:val="Normal"/>
    <w:next w:val="Normal"/>
    <w:rsid w:val="005643CD"/>
    <w:pPr>
      <w:keepNext/>
      <w:spacing w:after="0"/>
    </w:pPr>
  </w:style>
  <w:style w:type="paragraph" w:customStyle="1" w:styleId="Fichefinanciretitre">
    <w:name w:val="Fiche financière titre"/>
    <w:basedOn w:val="Normal"/>
    <w:next w:val="Normal"/>
    <w:rsid w:val="005643CD"/>
    <w:pPr>
      <w:jc w:val="center"/>
    </w:pPr>
    <w:rPr>
      <w:b/>
      <w:u w:val="single"/>
    </w:rPr>
  </w:style>
  <w:style w:type="paragraph" w:styleId="Footer">
    <w:name w:val="footer"/>
    <w:basedOn w:val="Normal"/>
    <w:link w:val="FooterChar"/>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5643CD"/>
    <w:pPr>
      <w:tabs>
        <w:tab w:val="center" w:pos="7285"/>
        <w:tab w:val="center" w:pos="10913"/>
        <w:tab w:val="right" w:pos="15137"/>
      </w:tabs>
      <w:spacing w:before="360" w:after="0"/>
      <w:ind w:left="-567" w:right="-567"/>
      <w:jc w:val="left"/>
    </w:pPr>
  </w:style>
  <w:style w:type="character" w:styleId="FootnoteReference">
    <w:name w:val="footnote reference"/>
    <w:aliases w:val="SUPERS,Odwołanie przypisu,Times 10 Point,Exposant 3 Point,Footnote symbol,Footnote reference number,number,Footnote Reference Superscript,stylish,Знак сноски-FN,Ciae niinee-FN,Знак сноски 1,-E Fußnotenzeichen, Exposant 3 Point,FR,B2,R"/>
    <w:uiPriority w:val="99"/>
    <w:rsid w:val="005643CD"/>
    <w:rPr>
      <w:shd w:val="clear" w:color="auto" w:fill="auto"/>
      <w:vertAlign w:val="superscript"/>
    </w:rPr>
  </w:style>
  <w:style w:type="paragraph" w:styleId="FootnoteText">
    <w:name w:val="footnote text"/>
    <w:basedOn w:val="Normal"/>
    <w:semiHidden/>
    <w:rsid w:val="005643CD"/>
    <w:pPr>
      <w:spacing w:before="0" w:after="0"/>
      <w:ind w:left="720" w:hanging="720"/>
    </w:pPr>
    <w:rPr>
      <w:sz w:val="20"/>
      <w:szCs w:val="20"/>
    </w:rPr>
  </w:style>
  <w:style w:type="paragraph" w:customStyle="1" w:styleId="Formuledadoption">
    <w:name w:val="Formule d'adoption"/>
    <w:basedOn w:val="Normal"/>
    <w:next w:val="Normal"/>
    <w:rsid w:val="005643CD"/>
    <w:pPr>
      <w:keepNext/>
    </w:pPr>
  </w:style>
  <w:style w:type="paragraph" w:styleId="Header">
    <w:name w:val="header"/>
    <w:basedOn w:val="Normal"/>
    <w:link w:val="HeaderChar"/>
    <w:uiPriority w:val="99"/>
    <w:rsid w:val="005643CD"/>
    <w:pPr>
      <w:tabs>
        <w:tab w:val="center" w:pos="4535"/>
        <w:tab w:val="right" w:pos="9071"/>
      </w:tabs>
    </w:pPr>
  </w:style>
  <w:style w:type="paragraph" w:customStyle="1" w:styleId="HeaderLandscape">
    <w:name w:val="HeaderLandscape"/>
    <w:basedOn w:val="Normal"/>
    <w:rsid w:val="005643CD"/>
    <w:pPr>
      <w:tabs>
        <w:tab w:val="center" w:pos="7285"/>
        <w:tab w:val="right" w:pos="14003"/>
      </w:tabs>
    </w:pPr>
  </w:style>
  <w:style w:type="paragraph" w:customStyle="1" w:styleId="Institutionquiagit">
    <w:name w:val="Institution qui agit"/>
    <w:basedOn w:val="Normal"/>
    <w:next w:val="Normal"/>
    <w:rsid w:val="005643CD"/>
    <w:pPr>
      <w:keepNext/>
      <w:spacing w:before="600"/>
    </w:pPr>
  </w:style>
  <w:style w:type="paragraph" w:customStyle="1" w:styleId="Institutionquisigne">
    <w:name w:val="Institution qui signe"/>
    <w:basedOn w:val="Normal"/>
    <w:next w:val="Normal"/>
    <w:rsid w:val="005643CD"/>
    <w:pPr>
      <w:keepNext/>
      <w:tabs>
        <w:tab w:val="left" w:pos="4252"/>
      </w:tabs>
      <w:spacing w:before="720" w:after="0"/>
    </w:pPr>
    <w:rPr>
      <w:i/>
    </w:rPr>
  </w:style>
  <w:style w:type="paragraph" w:customStyle="1" w:styleId="Languesfaisantfoi">
    <w:name w:val="Langues faisant foi"/>
    <w:basedOn w:val="Normal"/>
    <w:next w:val="Normal"/>
    <w:rsid w:val="005643CD"/>
    <w:pPr>
      <w:spacing w:before="360" w:after="0"/>
      <w:jc w:val="center"/>
    </w:pPr>
  </w:style>
  <w:style w:type="paragraph" w:customStyle="1" w:styleId="IntrtEEE">
    <w:name w:val="Intérêt EEE"/>
    <w:basedOn w:val="Languesfaisantfoi"/>
    <w:next w:val="Normal"/>
    <w:rsid w:val="005643CD"/>
    <w:pPr>
      <w:spacing w:after="240"/>
    </w:pPr>
  </w:style>
  <w:style w:type="paragraph" w:customStyle="1" w:styleId="IntrtEEEPagedecouverture">
    <w:name w:val="Intérêt EEE (Page de couverture)"/>
    <w:basedOn w:val="IntrtEEE"/>
    <w:next w:val="Normal"/>
    <w:rsid w:val="005643CD"/>
  </w:style>
  <w:style w:type="paragraph" w:customStyle="1" w:styleId="Langue">
    <w:name w:val="Langue"/>
    <w:basedOn w:val="Normal"/>
    <w:next w:val="Normal"/>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rsid w:val="005643CD"/>
    <w:pPr>
      <w:spacing w:before="360" w:after="0"/>
      <w:jc w:val="center"/>
    </w:pPr>
  </w:style>
  <w:style w:type="paragraph" w:customStyle="1" w:styleId="ManualConsidrant">
    <w:name w:val="Manual Considérant"/>
    <w:basedOn w:val="Normal"/>
    <w:rsid w:val="005643CD"/>
    <w:pPr>
      <w:ind w:left="709" w:hanging="709"/>
    </w:pPr>
  </w:style>
  <w:style w:type="paragraph" w:customStyle="1" w:styleId="ManualHeading1">
    <w:name w:val="Manual Heading 1"/>
    <w:basedOn w:val="Normal"/>
    <w:next w:val="Normal"/>
    <w:rsid w:val="005643CD"/>
    <w:pPr>
      <w:keepNext/>
      <w:tabs>
        <w:tab w:val="left" w:pos="850"/>
      </w:tabs>
      <w:spacing w:before="360"/>
      <w:ind w:left="850" w:hanging="850"/>
      <w:outlineLvl w:val="0"/>
    </w:pPr>
    <w:rPr>
      <w:b/>
      <w:smallCaps/>
    </w:rPr>
  </w:style>
  <w:style w:type="paragraph" w:customStyle="1" w:styleId="ManualHeading2">
    <w:name w:val="Manual Heading 2"/>
    <w:basedOn w:val="Normal"/>
    <w:next w:val="Normal"/>
    <w:rsid w:val="005643CD"/>
    <w:pPr>
      <w:keepNext/>
      <w:tabs>
        <w:tab w:val="left" w:pos="850"/>
      </w:tabs>
      <w:ind w:left="850" w:hanging="850"/>
      <w:outlineLvl w:val="1"/>
    </w:pPr>
    <w:rPr>
      <w:b/>
    </w:rPr>
  </w:style>
  <w:style w:type="paragraph" w:customStyle="1" w:styleId="ManualHeading3">
    <w:name w:val="Manual Heading 3"/>
    <w:basedOn w:val="Normal"/>
    <w:next w:val="Normal"/>
    <w:rsid w:val="005643CD"/>
    <w:pPr>
      <w:keepNext/>
      <w:tabs>
        <w:tab w:val="left" w:pos="850"/>
      </w:tabs>
      <w:ind w:left="850" w:hanging="850"/>
      <w:outlineLvl w:val="2"/>
    </w:pPr>
    <w:rPr>
      <w:i/>
    </w:rPr>
  </w:style>
  <w:style w:type="paragraph" w:customStyle="1" w:styleId="ManualHeading4">
    <w:name w:val="Manual Heading 4"/>
    <w:basedOn w:val="Normal"/>
    <w:next w:val="Normal"/>
    <w:rsid w:val="005643CD"/>
    <w:pPr>
      <w:keepNext/>
      <w:tabs>
        <w:tab w:val="left" w:pos="850"/>
      </w:tabs>
      <w:ind w:left="850" w:hanging="850"/>
      <w:outlineLvl w:val="3"/>
    </w:pPr>
  </w:style>
  <w:style w:type="paragraph" w:customStyle="1" w:styleId="ManualNumPar1">
    <w:name w:val="Manual NumPar 1"/>
    <w:basedOn w:val="Normal"/>
    <w:next w:val="Normal"/>
    <w:rsid w:val="005643CD"/>
    <w:pPr>
      <w:ind w:left="850" w:hanging="850"/>
    </w:pPr>
  </w:style>
  <w:style w:type="paragraph" w:customStyle="1" w:styleId="ManualNumPar2">
    <w:name w:val="Manual NumPar 2"/>
    <w:basedOn w:val="Normal"/>
    <w:next w:val="Normal"/>
    <w:rsid w:val="005643CD"/>
    <w:pPr>
      <w:ind w:left="850" w:hanging="850"/>
    </w:pPr>
  </w:style>
  <w:style w:type="paragraph" w:customStyle="1" w:styleId="ManualNumPar3">
    <w:name w:val="Manual NumPar 3"/>
    <w:basedOn w:val="Normal"/>
    <w:next w:val="Normal"/>
    <w:rsid w:val="005643CD"/>
    <w:pPr>
      <w:ind w:left="850" w:hanging="850"/>
    </w:pPr>
  </w:style>
  <w:style w:type="paragraph" w:customStyle="1" w:styleId="ManualNumPar4">
    <w:name w:val="Manual NumPar 4"/>
    <w:basedOn w:val="Normal"/>
    <w:next w:val="Normal"/>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ormal"/>
    <w:next w:val="Emission"/>
    <w:rsid w:val="005643CD"/>
    <w:pPr>
      <w:spacing w:before="0" w:after="0"/>
      <w:jc w:val="left"/>
    </w:pPr>
    <w:rPr>
      <w:rFonts w:ascii="Arial" w:hAnsi="Arial" w:cs="Arial"/>
    </w:rPr>
  </w:style>
  <w:style w:type="paragraph" w:customStyle="1" w:styleId="NormalCentered">
    <w:name w:val="Normal Centered"/>
    <w:basedOn w:val="Normal"/>
    <w:rsid w:val="005643CD"/>
    <w:pPr>
      <w:jc w:val="center"/>
    </w:pPr>
  </w:style>
  <w:style w:type="paragraph" w:customStyle="1" w:styleId="NormalLeft">
    <w:name w:val="Normal Left"/>
    <w:basedOn w:val="Normal"/>
    <w:rsid w:val="005643CD"/>
    <w:pPr>
      <w:jc w:val="left"/>
    </w:pPr>
  </w:style>
  <w:style w:type="paragraph" w:customStyle="1" w:styleId="NormalRight">
    <w:name w:val="Normal Right"/>
    <w:basedOn w:val="Normal"/>
    <w:rsid w:val="005643CD"/>
    <w:pPr>
      <w:jc w:val="right"/>
    </w:pPr>
  </w:style>
  <w:style w:type="paragraph" w:customStyle="1" w:styleId="NumPar1">
    <w:name w:val="NumPar 1"/>
    <w:basedOn w:val="Normal"/>
    <w:next w:val="Normal"/>
    <w:rsid w:val="005643CD"/>
    <w:pPr>
      <w:numPr>
        <w:numId w:val="9"/>
      </w:numPr>
    </w:pPr>
  </w:style>
  <w:style w:type="paragraph" w:customStyle="1" w:styleId="NumPar2">
    <w:name w:val="NumPar 2"/>
    <w:basedOn w:val="Normal"/>
    <w:next w:val="Normal"/>
    <w:rsid w:val="005643CD"/>
    <w:pPr>
      <w:numPr>
        <w:ilvl w:val="1"/>
        <w:numId w:val="9"/>
      </w:numPr>
    </w:pPr>
  </w:style>
  <w:style w:type="paragraph" w:customStyle="1" w:styleId="NumPar3">
    <w:name w:val="NumPar 3"/>
    <w:basedOn w:val="Normal"/>
    <w:next w:val="Normal"/>
    <w:rsid w:val="005643CD"/>
    <w:pPr>
      <w:numPr>
        <w:ilvl w:val="2"/>
        <w:numId w:val="9"/>
      </w:numPr>
    </w:pPr>
  </w:style>
  <w:style w:type="paragraph" w:customStyle="1" w:styleId="NumPar4">
    <w:name w:val="NumPar 4"/>
    <w:basedOn w:val="Normal"/>
    <w:next w:val="Normal"/>
    <w:rsid w:val="005643CD"/>
    <w:pPr>
      <w:numPr>
        <w:ilvl w:val="3"/>
        <w:numId w:val="9"/>
      </w:numPr>
    </w:pPr>
  </w:style>
  <w:style w:type="paragraph" w:customStyle="1" w:styleId="Objetacteprincipal">
    <w:name w:val="Objet acte principal"/>
    <w:basedOn w:val="Normal"/>
    <w:next w:val="Normal"/>
    <w:rsid w:val="005643CD"/>
    <w:pPr>
      <w:spacing w:before="0" w:after="360"/>
      <w:jc w:val="center"/>
    </w:pPr>
    <w:rPr>
      <w:b/>
    </w:rPr>
  </w:style>
  <w:style w:type="paragraph" w:customStyle="1" w:styleId="ObjetacteprincipalPagedecouverture">
    <w:name w:val="Objet acte principal (Page de couverture)"/>
    <w:basedOn w:val="Objetacteprincipal"/>
    <w:next w:val="Normal"/>
    <w:rsid w:val="005643CD"/>
  </w:style>
  <w:style w:type="paragraph" w:customStyle="1" w:styleId="Objetexterne">
    <w:name w:val="Objet externe"/>
    <w:basedOn w:val="Normal"/>
    <w:next w:val="Normal"/>
    <w:rsid w:val="005643CD"/>
    <w:rPr>
      <w:i/>
      <w:caps/>
    </w:rPr>
  </w:style>
  <w:style w:type="paragraph" w:customStyle="1" w:styleId="Pagedecouverture">
    <w:name w:val="Page de couverture"/>
    <w:basedOn w:val="Normal"/>
    <w:next w:val="Normal"/>
    <w:rsid w:val="005643CD"/>
  </w:style>
  <w:style w:type="paragraph" w:customStyle="1" w:styleId="PartTitle">
    <w:name w:val="PartTitle"/>
    <w:basedOn w:val="Normal"/>
    <w:next w:val="ChapterTitle"/>
    <w:rsid w:val="005643CD"/>
    <w:pPr>
      <w:keepNext/>
      <w:pageBreakBefore/>
      <w:spacing w:after="360"/>
      <w:jc w:val="center"/>
    </w:pPr>
    <w:rPr>
      <w:b/>
      <w:sz w:val="36"/>
    </w:rPr>
  </w:style>
  <w:style w:type="paragraph" w:customStyle="1" w:styleId="Personnequisigne">
    <w:name w:val="Personne qui signe"/>
    <w:basedOn w:val="Normal"/>
    <w:next w:val="Institutionquisigne"/>
    <w:rsid w:val="005643CD"/>
    <w:pPr>
      <w:tabs>
        <w:tab w:val="left" w:pos="4252"/>
      </w:tabs>
      <w:spacing w:before="0" w:after="0"/>
      <w:jc w:val="left"/>
    </w:pPr>
    <w:rPr>
      <w:i/>
    </w:rPr>
  </w:style>
  <w:style w:type="paragraph" w:customStyle="1" w:styleId="Point0">
    <w:name w:val="Point 0"/>
    <w:basedOn w:val="Normal"/>
    <w:rsid w:val="005643CD"/>
    <w:pPr>
      <w:ind w:left="850" w:hanging="850"/>
    </w:pPr>
  </w:style>
  <w:style w:type="paragraph" w:customStyle="1" w:styleId="Point0letter">
    <w:name w:val="Point 0 (letter)"/>
    <w:basedOn w:val="Normal"/>
    <w:rsid w:val="005643CD"/>
    <w:pPr>
      <w:numPr>
        <w:ilvl w:val="1"/>
        <w:numId w:val="10"/>
      </w:numPr>
    </w:pPr>
  </w:style>
  <w:style w:type="paragraph" w:customStyle="1" w:styleId="Point0number">
    <w:name w:val="Point 0 (number)"/>
    <w:basedOn w:val="Normal"/>
    <w:rsid w:val="005643CD"/>
    <w:pPr>
      <w:numPr>
        <w:numId w:val="10"/>
      </w:numPr>
    </w:pPr>
  </w:style>
  <w:style w:type="paragraph" w:customStyle="1" w:styleId="Point1">
    <w:name w:val="Point 1"/>
    <w:basedOn w:val="Normal"/>
    <w:rsid w:val="005643CD"/>
    <w:pPr>
      <w:ind w:left="1417" w:hanging="567"/>
    </w:pPr>
  </w:style>
  <w:style w:type="paragraph" w:customStyle="1" w:styleId="Point1letter">
    <w:name w:val="Point 1 (letter)"/>
    <w:basedOn w:val="Normal"/>
    <w:rsid w:val="005643CD"/>
    <w:pPr>
      <w:numPr>
        <w:ilvl w:val="3"/>
        <w:numId w:val="10"/>
      </w:numPr>
    </w:pPr>
  </w:style>
  <w:style w:type="paragraph" w:customStyle="1" w:styleId="Point1number">
    <w:name w:val="Point 1 (number)"/>
    <w:basedOn w:val="Normal"/>
    <w:rsid w:val="005643CD"/>
    <w:pPr>
      <w:numPr>
        <w:ilvl w:val="2"/>
        <w:numId w:val="10"/>
      </w:numPr>
    </w:pPr>
  </w:style>
  <w:style w:type="paragraph" w:customStyle="1" w:styleId="Point2">
    <w:name w:val="Point 2"/>
    <w:basedOn w:val="Normal"/>
    <w:rsid w:val="005643CD"/>
    <w:pPr>
      <w:ind w:left="1984" w:hanging="567"/>
    </w:pPr>
  </w:style>
  <w:style w:type="paragraph" w:customStyle="1" w:styleId="Point2letter">
    <w:name w:val="Point 2 (letter)"/>
    <w:basedOn w:val="Normal"/>
    <w:rsid w:val="005643CD"/>
    <w:pPr>
      <w:numPr>
        <w:ilvl w:val="5"/>
        <w:numId w:val="10"/>
      </w:numPr>
    </w:pPr>
  </w:style>
  <w:style w:type="paragraph" w:customStyle="1" w:styleId="Point2number">
    <w:name w:val="Point 2 (number)"/>
    <w:basedOn w:val="Normal"/>
    <w:rsid w:val="005643CD"/>
    <w:pPr>
      <w:numPr>
        <w:ilvl w:val="4"/>
        <w:numId w:val="10"/>
      </w:numPr>
    </w:pPr>
  </w:style>
  <w:style w:type="paragraph" w:customStyle="1" w:styleId="Point3">
    <w:name w:val="Point 3"/>
    <w:basedOn w:val="Normal"/>
    <w:rsid w:val="005643CD"/>
    <w:pPr>
      <w:ind w:left="2551" w:hanging="567"/>
    </w:pPr>
  </w:style>
  <w:style w:type="paragraph" w:customStyle="1" w:styleId="Point3letter">
    <w:name w:val="Point 3 (letter)"/>
    <w:basedOn w:val="Normal"/>
    <w:rsid w:val="005643CD"/>
    <w:pPr>
      <w:numPr>
        <w:ilvl w:val="7"/>
        <w:numId w:val="10"/>
      </w:numPr>
    </w:pPr>
  </w:style>
  <w:style w:type="paragraph" w:customStyle="1" w:styleId="Point3number">
    <w:name w:val="Point 3 (number)"/>
    <w:basedOn w:val="Normal"/>
    <w:rsid w:val="005643CD"/>
    <w:pPr>
      <w:numPr>
        <w:ilvl w:val="6"/>
        <w:numId w:val="10"/>
      </w:numPr>
    </w:pPr>
  </w:style>
  <w:style w:type="paragraph" w:customStyle="1" w:styleId="Point4">
    <w:name w:val="Point 4"/>
    <w:basedOn w:val="Normal"/>
    <w:rsid w:val="005643CD"/>
    <w:pPr>
      <w:ind w:left="3118" w:hanging="567"/>
    </w:pPr>
  </w:style>
  <w:style w:type="paragraph" w:customStyle="1" w:styleId="Point4letter">
    <w:name w:val="Point 4 (letter)"/>
    <w:basedOn w:val="Normal"/>
    <w:rsid w:val="005643CD"/>
    <w:pPr>
      <w:numPr>
        <w:ilvl w:val="8"/>
        <w:numId w:val="10"/>
      </w:numPr>
    </w:pPr>
  </w:style>
  <w:style w:type="paragraph" w:customStyle="1" w:styleId="PointDouble0">
    <w:name w:val="PointDouble 0"/>
    <w:basedOn w:val="Normal"/>
    <w:rsid w:val="005643CD"/>
    <w:pPr>
      <w:tabs>
        <w:tab w:val="left" w:pos="850"/>
      </w:tabs>
      <w:ind w:left="1417" w:hanging="1417"/>
    </w:pPr>
  </w:style>
  <w:style w:type="paragraph" w:customStyle="1" w:styleId="PointDouble1">
    <w:name w:val="PointDouble 1"/>
    <w:basedOn w:val="Normal"/>
    <w:rsid w:val="005643CD"/>
    <w:pPr>
      <w:tabs>
        <w:tab w:val="left" w:pos="1417"/>
      </w:tabs>
      <w:ind w:left="1984" w:hanging="1134"/>
    </w:pPr>
  </w:style>
  <w:style w:type="paragraph" w:customStyle="1" w:styleId="PointDouble2">
    <w:name w:val="PointDouble 2"/>
    <w:basedOn w:val="Normal"/>
    <w:rsid w:val="005643CD"/>
    <w:pPr>
      <w:tabs>
        <w:tab w:val="left" w:pos="1984"/>
      </w:tabs>
      <w:ind w:left="2551" w:hanging="1134"/>
    </w:pPr>
  </w:style>
  <w:style w:type="paragraph" w:customStyle="1" w:styleId="PointDouble3">
    <w:name w:val="PointDouble 3"/>
    <w:basedOn w:val="Normal"/>
    <w:rsid w:val="005643CD"/>
    <w:pPr>
      <w:tabs>
        <w:tab w:val="left" w:pos="2551"/>
      </w:tabs>
      <w:ind w:left="3118" w:hanging="1134"/>
    </w:pPr>
  </w:style>
  <w:style w:type="paragraph" w:customStyle="1" w:styleId="PointDouble4">
    <w:name w:val="PointDouble 4"/>
    <w:basedOn w:val="Normal"/>
    <w:rsid w:val="005643CD"/>
    <w:pPr>
      <w:tabs>
        <w:tab w:val="left" w:pos="3118"/>
      </w:tabs>
      <w:ind w:left="3685" w:hanging="1134"/>
    </w:pPr>
  </w:style>
  <w:style w:type="paragraph" w:customStyle="1" w:styleId="PointTriple0">
    <w:name w:val="PointTriple 0"/>
    <w:basedOn w:val="Normal"/>
    <w:rsid w:val="005643CD"/>
    <w:pPr>
      <w:tabs>
        <w:tab w:val="left" w:pos="850"/>
        <w:tab w:val="left" w:pos="1417"/>
      </w:tabs>
      <w:ind w:left="1984" w:hanging="1984"/>
    </w:pPr>
  </w:style>
  <w:style w:type="paragraph" w:customStyle="1" w:styleId="PointTriple1">
    <w:name w:val="PointTriple 1"/>
    <w:basedOn w:val="Normal"/>
    <w:rsid w:val="005643CD"/>
    <w:pPr>
      <w:tabs>
        <w:tab w:val="left" w:pos="1417"/>
        <w:tab w:val="left" w:pos="1984"/>
      </w:tabs>
      <w:ind w:left="2551" w:hanging="1701"/>
    </w:pPr>
  </w:style>
  <w:style w:type="paragraph" w:customStyle="1" w:styleId="PointTriple2">
    <w:name w:val="PointTriple 2"/>
    <w:basedOn w:val="Normal"/>
    <w:rsid w:val="005643CD"/>
    <w:pPr>
      <w:tabs>
        <w:tab w:val="left" w:pos="1984"/>
        <w:tab w:val="left" w:pos="2551"/>
      </w:tabs>
      <w:ind w:left="3118" w:hanging="1701"/>
    </w:pPr>
  </w:style>
  <w:style w:type="paragraph" w:customStyle="1" w:styleId="PointTriple3">
    <w:name w:val="PointTriple 3"/>
    <w:basedOn w:val="Normal"/>
    <w:rsid w:val="005643CD"/>
    <w:pPr>
      <w:tabs>
        <w:tab w:val="left" w:pos="2551"/>
        <w:tab w:val="left" w:pos="3118"/>
      </w:tabs>
      <w:ind w:left="3685" w:hanging="1701"/>
    </w:pPr>
  </w:style>
  <w:style w:type="paragraph" w:customStyle="1" w:styleId="PointTriple4">
    <w:name w:val="PointTriple 4"/>
    <w:basedOn w:val="Normal"/>
    <w:rsid w:val="005643CD"/>
    <w:pPr>
      <w:tabs>
        <w:tab w:val="left" w:pos="3118"/>
        <w:tab w:val="left" w:pos="3685"/>
      </w:tabs>
      <w:ind w:left="4252" w:hanging="1701"/>
    </w:pPr>
  </w:style>
  <w:style w:type="paragraph" w:customStyle="1" w:styleId="QuotedNumPar">
    <w:name w:val="Quoted NumPar"/>
    <w:basedOn w:val="Normal"/>
    <w:rsid w:val="005643CD"/>
    <w:pPr>
      <w:ind w:left="1417" w:hanging="567"/>
    </w:pPr>
  </w:style>
  <w:style w:type="paragraph" w:customStyle="1" w:styleId="QuotedText">
    <w:name w:val="Quoted Text"/>
    <w:basedOn w:val="Normal"/>
    <w:rsid w:val="005643CD"/>
    <w:pPr>
      <w:ind w:left="1417"/>
    </w:pPr>
  </w:style>
  <w:style w:type="paragraph" w:customStyle="1" w:styleId="Rfrencecroise">
    <w:name w:val="Référence croisée"/>
    <w:basedOn w:val="Normal"/>
    <w:rsid w:val="005643CD"/>
    <w:pPr>
      <w:spacing w:before="0" w:after="0"/>
      <w:jc w:val="center"/>
    </w:pPr>
  </w:style>
  <w:style w:type="paragraph" w:customStyle="1" w:styleId="Rfrenceinstitutionnelle">
    <w:name w:val="Référence institutionnelle"/>
    <w:basedOn w:val="Normal"/>
    <w:next w:val="Confidentialit"/>
    <w:rsid w:val="005643CD"/>
    <w:pPr>
      <w:spacing w:before="0" w:after="240"/>
      <w:ind w:left="5103"/>
      <w:jc w:val="left"/>
    </w:pPr>
  </w:style>
  <w:style w:type="paragraph" w:customStyle="1" w:styleId="Rfrenceinterinstitutionnelle">
    <w:name w:val="Référence interinstitutionnelle"/>
    <w:basedOn w:val="Normal"/>
    <w:next w:val="Normal"/>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ormal"/>
    <w:next w:val="Rfrenceinterinstitutionnelle"/>
    <w:rsid w:val="005643CD"/>
    <w:pPr>
      <w:spacing w:before="0" w:after="0"/>
      <w:ind w:left="5103"/>
      <w:jc w:val="left"/>
    </w:pPr>
  </w:style>
  <w:style w:type="paragraph" w:customStyle="1" w:styleId="SectionTitle">
    <w:name w:val="SectionTitle"/>
    <w:basedOn w:val="Normal"/>
    <w:next w:val="Heading1"/>
    <w:rsid w:val="005643CD"/>
    <w:pPr>
      <w:keepNext/>
      <w:spacing w:after="360"/>
      <w:jc w:val="center"/>
    </w:pPr>
    <w:rPr>
      <w:b/>
      <w:smallCaps/>
      <w:sz w:val="28"/>
    </w:rPr>
  </w:style>
  <w:style w:type="paragraph" w:customStyle="1" w:styleId="Sous-titreobjet">
    <w:name w:val="Sous-titre objet"/>
    <w:basedOn w:val="Normal"/>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ormal"/>
    <w:next w:val="Normal"/>
    <w:rsid w:val="005643CD"/>
    <w:pPr>
      <w:spacing w:before="360" w:after="0"/>
      <w:jc w:val="center"/>
    </w:pPr>
  </w:style>
  <w:style w:type="paragraph" w:customStyle="1" w:styleId="StatutPagedecouverture">
    <w:name w:val="Statut (Page de couverture)"/>
    <w:basedOn w:val="Statut"/>
    <w:next w:val="Normal"/>
    <w:rsid w:val="005643CD"/>
  </w:style>
  <w:style w:type="paragraph" w:customStyle="1" w:styleId="Supertitre">
    <w:name w:val="Supertitre"/>
    <w:basedOn w:val="Normal"/>
    <w:next w:val="Normal"/>
    <w:rsid w:val="005643CD"/>
    <w:pPr>
      <w:spacing w:before="0" w:after="600"/>
      <w:jc w:val="center"/>
    </w:pPr>
    <w:rPr>
      <w:b/>
    </w:rPr>
  </w:style>
  <w:style w:type="paragraph" w:customStyle="1" w:styleId="TableTitle">
    <w:name w:val="Table Title"/>
    <w:basedOn w:val="Normal"/>
    <w:next w:val="Normal"/>
    <w:rsid w:val="005643CD"/>
    <w:pPr>
      <w:jc w:val="center"/>
    </w:pPr>
    <w:rPr>
      <w:b/>
    </w:rPr>
  </w:style>
  <w:style w:type="paragraph" w:customStyle="1" w:styleId="Text1">
    <w:name w:val="Text 1"/>
    <w:basedOn w:val="Normal"/>
    <w:rsid w:val="005643CD"/>
    <w:pPr>
      <w:ind w:left="850"/>
    </w:pPr>
  </w:style>
  <w:style w:type="paragraph" w:customStyle="1" w:styleId="Text2">
    <w:name w:val="Text 2"/>
    <w:basedOn w:val="Normal"/>
    <w:rsid w:val="005643CD"/>
    <w:pPr>
      <w:ind w:left="1417"/>
    </w:pPr>
  </w:style>
  <w:style w:type="paragraph" w:customStyle="1" w:styleId="Text3">
    <w:name w:val="Text 3"/>
    <w:basedOn w:val="Normal"/>
    <w:rsid w:val="005643CD"/>
    <w:pPr>
      <w:ind w:left="1984"/>
    </w:pPr>
  </w:style>
  <w:style w:type="paragraph" w:customStyle="1" w:styleId="Text4">
    <w:name w:val="Text 4"/>
    <w:basedOn w:val="Normal"/>
    <w:rsid w:val="005643CD"/>
    <w:pPr>
      <w:ind w:left="2551"/>
    </w:pPr>
  </w:style>
  <w:style w:type="paragraph" w:customStyle="1" w:styleId="Tiret0">
    <w:name w:val="Tiret 0"/>
    <w:basedOn w:val="Point0"/>
    <w:rsid w:val="005643CD"/>
    <w:pPr>
      <w:numPr>
        <w:numId w:val="11"/>
      </w:numPr>
    </w:pPr>
  </w:style>
  <w:style w:type="paragraph" w:customStyle="1" w:styleId="Tiret1">
    <w:name w:val="Tiret 1"/>
    <w:basedOn w:val="Point1"/>
    <w:rsid w:val="005643CD"/>
    <w:pPr>
      <w:numPr>
        <w:numId w:val="12"/>
      </w:numPr>
    </w:pPr>
  </w:style>
  <w:style w:type="paragraph" w:customStyle="1" w:styleId="Tiret2">
    <w:name w:val="Tiret 2"/>
    <w:basedOn w:val="Point2"/>
    <w:rsid w:val="005643CD"/>
    <w:pPr>
      <w:numPr>
        <w:numId w:val="13"/>
      </w:numPr>
    </w:pPr>
  </w:style>
  <w:style w:type="paragraph" w:customStyle="1" w:styleId="Tiret3">
    <w:name w:val="Tiret 3"/>
    <w:basedOn w:val="Point3"/>
    <w:rsid w:val="005643CD"/>
    <w:pPr>
      <w:numPr>
        <w:numId w:val="14"/>
      </w:numPr>
    </w:pPr>
  </w:style>
  <w:style w:type="paragraph" w:customStyle="1" w:styleId="Tiret4">
    <w:name w:val="Tiret 4"/>
    <w:basedOn w:val="Point4"/>
    <w:rsid w:val="005643CD"/>
    <w:pPr>
      <w:numPr>
        <w:numId w:val="15"/>
      </w:numPr>
    </w:pPr>
  </w:style>
  <w:style w:type="paragraph" w:customStyle="1" w:styleId="Titrearticle">
    <w:name w:val="Titre article"/>
    <w:basedOn w:val="Normal"/>
    <w:next w:val="Normal"/>
    <w:rsid w:val="005643CD"/>
    <w:pPr>
      <w:keepNext/>
      <w:spacing w:before="360"/>
      <w:jc w:val="center"/>
    </w:pPr>
    <w:rPr>
      <w:i/>
    </w:rPr>
  </w:style>
  <w:style w:type="paragraph" w:customStyle="1" w:styleId="Titreobjet">
    <w:name w:val="Titre objet"/>
    <w:basedOn w:val="Normal"/>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TOC1">
    <w:name w:val="toc 1"/>
    <w:basedOn w:val="Normal"/>
    <w:next w:val="Normal"/>
    <w:uiPriority w:val="39"/>
    <w:rsid w:val="005643CD"/>
    <w:pPr>
      <w:tabs>
        <w:tab w:val="right" w:leader="dot" w:pos="9071"/>
      </w:tabs>
      <w:spacing w:before="60"/>
      <w:ind w:left="850" w:hanging="850"/>
      <w:jc w:val="left"/>
    </w:pPr>
  </w:style>
  <w:style w:type="paragraph" w:styleId="TOC2">
    <w:name w:val="toc 2"/>
    <w:basedOn w:val="Normal"/>
    <w:next w:val="Normal"/>
    <w:uiPriority w:val="39"/>
    <w:rsid w:val="005643CD"/>
    <w:pPr>
      <w:tabs>
        <w:tab w:val="right" w:leader="dot" w:pos="9071"/>
      </w:tabs>
      <w:spacing w:before="60"/>
      <w:ind w:left="850" w:hanging="850"/>
      <w:jc w:val="left"/>
    </w:pPr>
  </w:style>
  <w:style w:type="paragraph" w:styleId="TOC3">
    <w:name w:val="toc 3"/>
    <w:basedOn w:val="Normal"/>
    <w:next w:val="Normal"/>
    <w:semiHidden/>
    <w:rsid w:val="005643CD"/>
    <w:pPr>
      <w:tabs>
        <w:tab w:val="right" w:leader="dot" w:pos="9071"/>
      </w:tabs>
      <w:spacing w:before="60"/>
      <w:ind w:left="850" w:hanging="850"/>
      <w:jc w:val="left"/>
    </w:pPr>
  </w:style>
  <w:style w:type="paragraph" w:styleId="TOC4">
    <w:name w:val="toc 4"/>
    <w:basedOn w:val="Normal"/>
    <w:next w:val="Normal"/>
    <w:semiHidden/>
    <w:rsid w:val="005643CD"/>
    <w:pPr>
      <w:tabs>
        <w:tab w:val="right" w:leader="dot" w:pos="9071"/>
      </w:tabs>
      <w:spacing w:before="60"/>
      <w:ind w:left="850" w:hanging="850"/>
      <w:jc w:val="left"/>
    </w:pPr>
  </w:style>
  <w:style w:type="paragraph" w:styleId="TOC5">
    <w:name w:val="toc 5"/>
    <w:basedOn w:val="Normal"/>
    <w:next w:val="Normal"/>
    <w:semiHidden/>
    <w:rsid w:val="005643CD"/>
    <w:pPr>
      <w:tabs>
        <w:tab w:val="right" w:leader="dot" w:pos="9071"/>
      </w:tabs>
      <w:spacing w:before="300"/>
      <w:jc w:val="left"/>
    </w:pPr>
  </w:style>
  <w:style w:type="paragraph" w:styleId="TOC6">
    <w:name w:val="toc 6"/>
    <w:basedOn w:val="Normal"/>
    <w:next w:val="Normal"/>
    <w:semiHidden/>
    <w:rsid w:val="005643CD"/>
    <w:pPr>
      <w:tabs>
        <w:tab w:val="right" w:leader="dot" w:pos="9071"/>
      </w:tabs>
      <w:spacing w:before="240"/>
      <w:jc w:val="left"/>
    </w:pPr>
  </w:style>
  <w:style w:type="paragraph" w:styleId="TOC7">
    <w:name w:val="toc 7"/>
    <w:basedOn w:val="Normal"/>
    <w:next w:val="Normal"/>
    <w:semiHidden/>
    <w:rsid w:val="005643CD"/>
    <w:pPr>
      <w:tabs>
        <w:tab w:val="right" w:leader="dot" w:pos="9071"/>
      </w:tabs>
      <w:spacing w:before="180"/>
      <w:jc w:val="left"/>
    </w:pPr>
  </w:style>
  <w:style w:type="paragraph" w:styleId="TOC8">
    <w:name w:val="toc 8"/>
    <w:basedOn w:val="Normal"/>
    <w:next w:val="Normal"/>
    <w:semiHidden/>
    <w:rsid w:val="005643CD"/>
    <w:pPr>
      <w:tabs>
        <w:tab w:val="right" w:leader="dot" w:pos="9071"/>
      </w:tabs>
      <w:jc w:val="left"/>
    </w:pPr>
  </w:style>
  <w:style w:type="paragraph" w:styleId="TOC9">
    <w:name w:val="toc 9"/>
    <w:basedOn w:val="Normal"/>
    <w:next w:val="Normal"/>
    <w:semiHidden/>
    <w:rsid w:val="005643CD"/>
    <w:pPr>
      <w:tabs>
        <w:tab w:val="right" w:leader="dot" w:pos="9071"/>
      </w:tabs>
    </w:pPr>
  </w:style>
  <w:style w:type="paragraph" w:styleId="TOCHeading">
    <w:name w:val="TOC Heading"/>
    <w:basedOn w:val="Normal"/>
    <w:next w:val="Normal"/>
    <w:qFormat/>
    <w:rsid w:val="005643CD"/>
    <w:pPr>
      <w:spacing w:after="240"/>
      <w:jc w:val="center"/>
    </w:pPr>
    <w:rPr>
      <w:b/>
      <w:sz w:val="28"/>
    </w:rPr>
  </w:style>
  <w:style w:type="paragraph" w:customStyle="1" w:styleId="Typeacteprincipal">
    <w:name w:val="Type acte principal"/>
    <w:basedOn w:val="Normal"/>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ormal"/>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ormal"/>
    <w:next w:val="Confidentialit"/>
    <w:rsid w:val="005643CD"/>
    <w:pPr>
      <w:spacing w:before="0" w:after="240"/>
      <w:ind w:left="5103"/>
      <w:jc w:val="left"/>
    </w:pPr>
  </w:style>
  <w:style w:type="paragraph" w:customStyle="1" w:styleId="Default">
    <w:name w:val="Default"/>
    <w:rsid w:val="00287E6F"/>
    <w:pPr>
      <w:autoSpaceDE w:val="0"/>
      <w:autoSpaceDN w:val="0"/>
      <w:adjustRightInd w:val="0"/>
    </w:pPr>
    <w:rPr>
      <w:rFonts w:ascii="Arial" w:hAnsi="Arial" w:cs="Arial"/>
      <w:color w:val="000000"/>
      <w:sz w:val="24"/>
      <w:szCs w:val="24"/>
      <w:lang w:val="en-GB" w:eastAsia="en-GB"/>
    </w:rPr>
  </w:style>
  <w:style w:type="paragraph" w:styleId="ListParagraph">
    <w:name w:val="List Paragraph"/>
    <w:aliases w:val="FooterText,Paragraphe de liste1,1st level - Bullet List Paragraph,Lettre d'introduction,Paragrafo elenco,List Paragraph1,Medium Grid 1 - Accent 21,Heading 2_sj,Numbered Para 1,Dot pt,No Spacing1,List Paragraph Char Char Char"/>
    <w:basedOn w:val="Normal"/>
    <w:link w:val="ListParagraphChar"/>
    <w:uiPriority w:val="34"/>
    <w:qFormat/>
    <w:rsid w:val="00287E6F"/>
    <w:pPr>
      <w:spacing w:before="0"/>
      <w:ind w:left="720"/>
      <w:jc w:val="left"/>
    </w:pPr>
    <w:rPr>
      <w:rFonts w:ascii="Arial" w:hAnsi="Arial"/>
      <w:sz w:val="22"/>
      <w:szCs w:val="22"/>
    </w:rPr>
  </w:style>
  <w:style w:type="paragraph" w:styleId="NormalWeb">
    <w:name w:val="Normal (Web)"/>
    <w:basedOn w:val="Normal"/>
    <w:uiPriority w:val="99"/>
    <w:rsid w:val="00287E6F"/>
    <w:pPr>
      <w:spacing w:before="100" w:beforeAutospacing="1" w:after="100" w:afterAutospacing="1"/>
      <w:jc w:val="left"/>
    </w:pPr>
    <w:rPr>
      <w:lang w:eastAsia="en-GB"/>
    </w:rPr>
  </w:style>
  <w:style w:type="character" w:customStyle="1" w:styleId="FooterChar">
    <w:name w:val="Footer Char"/>
    <w:link w:val="Footer"/>
    <w:uiPriority w:val="99"/>
    <w:rsid w:val="002433D5"/>
    <w:rPr>
      <w:sz w:val="24"/>
      <w:szCs w:val="24"/>
      <w:lang w:eastAsia="en-US"/>
    </w:rPr>
  </w:style>
  <w:style w:type="character" w:customStyle="1" w:styleId="HeaderChar">
    <w:name w:val="Header Char"/>
    <w:link w:val="Header"/>
    <w:uiPriority w:val="99"/>
    <w:rsid w:val="002433D5"/>
    <w:rPr>
      <w:sz w:val="24"/>
      <w:szCs w:val="24"/>
      <w:lang w:eastAsia="en-US"/>
    </w:rPr>
  </w:style>
  <w:style w:type="character" w:styleId="Hyperlink">
    <w:name w:val="Hyperlink"/>
    <w:uiPriority w:val="99"/>
    <w:unhideWhenUsed/>
    <w:rsid w:val="00394457"/>
    <w:rPr>
      <w:color w:val="0000FF"/>
      <w:u w:val="single"/>
      <w:shd w:val="clear" w:color="auto" w:fill="auto"/>
    </w:rPr>
  </w:style>
  <w:style w:type="paragraph" w:customStyle="1" w:styleId="ZCom">
    <w:name w:val="Z_Com"/>
    <w:basedOn w:val="Normal"/>
    <w:next w:val="ZDGName"/>
    <w:uiPriority w:val="99"/>
    <w:rsid w:val="00147B3C"/>
    <w:pPr>
      <w:widowControl w:val="0"/>
      <w:autoSpaceDE w:val="0"/>
      <w:autoSpaceDN w:val="0"/>
      <w:spacing w:before="0" w:after="0"/>
      <w:ind w:right="85"/>
    </w:pPr>
    <w:rPr>
      <w:rFonts w:ascii="Arial" w:hAnsi="Arial" w:cs="Arial"/>
      <w:lang w:eastAsia="en-GB"/>
    </w:rPr>
  </w:style>
  <w:style w:type="paragraph" w:customStyle="1" w:styleId="ZDGName">
    <w:name w:val="Z_DGName"/>
    <w:basedOn w:val="Normal"/>
    <w:uiPriority w:val="99"/>
    <w:rsid w:val="00147B3C"/>
    <w:pPr>
      <w:widowControl w:val="0"/>
      <w:autoSpaceDE w:val="0"/>
      <w:autoSpaceDN w:val="0"/>
      <w:spacing w:before="0" w:after="0"/>
      <w:ind w:right="85"/>
      <w:jc w:val="left"/>
    </w:pPr>
    <w:rPr>
      <w:rFonts w:ascii="Arial" w:hAnsi="Arial" w:cs="Arial"/>
      <w:sz w:val="16"/>
      <w:szCs w:val="16"/>
      <w:lang w:eastAsia="en-GB"/>
    </w:rPr>
  </w:style>
  <w:style w:type="paragraph" w:customStyle="1" w:styleId="foonote">
    <w:name w:val="foonote"/>
    <w:basedOn w:val="FootnoteText"/>
    <w:link w:val="foonoteChar"/>
    <w:qFormat/>
    <w:rsid w:val="00273513"/>
    <w:pPr>
      <w:ind w:left="567" w:firstLine="0"/>
      <w:jc w:val="left"/>
    </w:pPr>
    <w:rPr>
      <w:rFonts w:ascii="Arial" w:eastAsia="Calibri" w:hAnsi="Arial" w:cs="Arial"/>
      <w:sz w:val="16"/>
      <w:szCs w:val="16"/>
    </w:rPr>
  </w:style>
  <w:style w:type="character" w:customStyle="1" w:styleId="foonoteChar">
    <w:name w:val="foonote Char"/>
    <w:link w:val="foonote"/>
    <w:rsid w:val="00273513"/>
    <w:rPr>
      <w:rFonts w:ascii="Arial" w:eastAsia="Calibri" w:hAnsi="Arial" w:cs="Arial"/>
      <w:sz w:val="16"/>
      <w:szCs w:val="16"/>
      <w:lang w:eastAsia="en-US"/>
    </w:rPr>
  </w:style>
  <w:style w:type="character" w:customStyle="1" w:styleId="ListParagraphChar">
    <w:name w:val="List Paragraph Char"/>
    <w:aliases w:val="FooterText Char,Paragraphe de liste1 Char,1st level - Bullet List Paragraph Char,Lettre d'introduction Char,Paragrafo elenco Char,List Paragraph1 Char,Medium Grid 1 - Accent 21 Char,Heading 2_sj Char,Numbered Para 1 Char,Dot pt Char"/>
    <w:link w:val="ListParagraph"/>
    <w:uiPriority w:val="34"/>
    <w:qFormat/>
    <w:locked/>
    <w:rsid w:val="00273513"/>
    <w:rPr>
      <w:rFonts w:ascii="Arial" w:hAnsi="Arial"/>
      <w:sz w:val="22"/>
      <w:szCs w:val="22"/>
      <w:lang w:eastAsia="en-US"/>
    </w:rPr>
  </w:style>
  <w:style w:type="paragraph" w:styleId="PlainText">
    <w:name w:val="Plain Text"/>
    <w:basedOn w:val="Normal"/>
    <w:link w:val="PlainTextChar"/>
    <w:uiPriority w:val="99"/>
    <w:unhideWhenUsed/>
    <w:rsid w:val="00273513"/>
    <w:pPr>
      <w:spacing w:before="0" w:after="0"/>
      <w:jc w:val="left"/>
    </w:pPr>
    <w:rPr>
      <w:rFonts w:ascii="Calibri" w:eastAsia="Calibri" w:hAnsi="Calibri"/>
      <w:sz w:val="22"/>
      <w:szCs w:val="21"/>
    </w:rPr>
  </w:style>
  <w:style w:type="character" w:customStyle="1" w:styleId="PlainTextChar">
    <w:name w:val="Plain Text Char"/>
    <w:link w:val="PlainText"/>
    <w:uiPriority w:val="99"/>
    <w:rsid w:val="00273513"/>
    <w:rPr>
      <w:rFonts w:ascii="Calibri" w:eastAsia="Calibri" w:hAnsi="Calibri"/>
      <w:sz w:val="22"/>
      <w:szCs w:val="21"/>
      <w:shd w:val="clear" w:color="auto" w:fill="auto"/>
      <w:lang w:eastAsia="en-US"/>
    </w:rPr>
  </w:style>
  <w:style w:type="paragraph" w:customStyle="1" w:styleId="Nroam">
    <w:name w:val="Nroam"/>
    <w:basedOn w:val="Normal"/>
    <w:rsid w:val="00273513"/>
    <w:pPr>
      <w:spacing w:before="0" w:after="0" w:line="300" w:lineRule="atLeast"/>
      <w:ind w:left="567"/>
      <w:jc w:val="left"/>
    </w:pPr>
    <w:rPr>
      <w:rFonts w:ascii="Trebuchet MS" w:eastAsia="Calibri" w:hAnsi="Trebuchet MS"/>
      <w:sz w:val="18"/>
      <w:szCs w:val="22"/>
    </w:rPr>
  </w:style>
  <w:style w:type="paragraph" w:customStyle="1" w:styleId="Normal1">
    <w:name w:val="Normal1"/>
    <w:basedOn w:val="Normal"/>
    <w:rsid w:val="00273513"/>
    <w:pPr>
      <w:spacing w:before="100" w:beforeAutospacing="1" w:after="100" w:afterAutospacing="1"/>
      <w:jc w:val="left"/>
    </w:pPr>
    <w:rPr>
      <w:lang w:eastAsia="en-GB"/>
    </w:rPr>
  </w:style>
  <w:style w:type="paragraph" w:styleId="BalloonText">
    <w:name w:val="Balloon Text"/>
    <w:basedOn w:val="Normal"/>
    <w:link w:val="BalloonTextChar"/>
    <w:rsid w:val="00803A15"/>
    <w:pPr>
      <w:spacing w:before="0" w:after="0"/>
    </w:pPr>
    <w:rPr>
      <w:rFonts w:ascii="Arial" w:hAnsi="Arial" w:cs="Arial"/>
      <w:sz w:val="16"/>
      <w:szCs w:val="16"/>
    </w:rPr>
  </w:style>
  <w:style w:type="character" w:customStyle="1" w:styleId="BalloonTextChar">
    <w:name w:val="Balloon Text Char"/>
    <w:link w:val="BalloonText"/>
    <w:rsid w:val="00803A15"/>
    <w:rPr>
      <w:rFonts w:ascii="Arial" w:hAnsi="Arial" w:cs="Arial"/>
      <w:sz w:val="16"/>
      <w:szCs w:val="16"/>
      <w:shd w:val="clear" w:color="auto" w:fill="auto"/>
      <w:lang w:eastAsia="en-US"/>
    </w:rPr>
  </w:style>
  <w:style w:type="character" w:styleId="FollowedHyperlink">
    <w:name w:val="FollowedHyperlink"/>
    <w:rsid w:val="0037256C"/>
    <w:rPr>
      <w:color w:val="800080"/>
      <w:u w:val="single"/>
      <w:shd w:val="clear" w:color="auto" w:fill="auto"/>
    </w:rPr>
  </w:style>
  <w:style w:type="character" w:styleId="CommentReference">
    <w:name w:val="annotation reference"/>
    <w:uiPriority w:val="99"/>
    <w:rsid w:val="00785C9F"/>
    <w:rPr>
      <w:sz w:val="16"/>
      <w:szCs w:val="16"/>
      <w:shd w:val="clear" w:color="auto" w:fill="auto"/>
    </w:rPr>
  </w:style>
  <w:style w:type="paragraph" w:styleId="CommentText">
    <w:name w:val="annotation text"/>
    <w:basedOn w:val="Normal"/>
    <w:link w:val="CommentTextChar"/>
    <w:uiPriority w:val="99"/>
    <w:rsid w:val="00785C9F"/>
    <w:rPr>
      <w:sz w:val="20"/>
      <w:szCs w:val="20"/>
    </w:rPr>
  </w:style>
  <w:style w:type="character" w:customStyle="1" w:styleId="CommentTextChar">
    <w:name w:val="Comment Text Char"/>
    <w:link w:val="CommentText"/>
    <w:uiPriority w:val="99"/>
    <w:rsid w:val="00785C9F"/>
    <w:rPr>
      <w:shd w:val="clear" w:color="auto" w:fill="auto"/>
      <w:lang w:eastAsia="en-US"/>
    </w:rPr>
  </w:style>
  <w:style w:type="paragraph" w:styleId="CommentSubject">
    <w:name w:val="annotation subject"/>
    <w:basedOn w:val="CommentText"/>
    <w:next w:val="CommentText"/>
    <w:link w:val="CommentSubjectChar"/>
    <w:rsid w:val="00785C9F"/>
    <w:rPr>
      <w:b/>
      <w:bCs/>
    </w:rPr>
  </w:style>
  <w:style w:type="character" w:customStyle="1" w:styleId="CommentSubjectChar">
    <w:name w:val="Comment Subject Char"/>
    <w:link w:val="CommentSubject"/>
    <w:rsid w:val="00785C9F"/>
    <w:rPr>
      <w:b/>
      <w:bCs/>
      <w:shd w:val="clear" w:color="auto" w:fill="auto"/>
      <w:lang w:eastAsia="en-US"/>
    </w:rPr>
  </w:style>
  <w:style w:type="table" w:styleId="TableGrid">
    <w:name w:val="Table Grid"/>
    <w:aliases w:val="Deloitte"/>
    <w:basedOn w:val="TableNormal"/>
    <w:rsid w:val="00FA4D22"/>
    <w:rPr>
      <w:rFonts w:ascii="Calibri" w:eastAsia="Calibri"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estion">
    <w:name w:val="Question"/>
    <w:basedOn w:val="ListParagraph"/>
    <w:qFormat/>
    <w:rsid w:val="00FA4D22"/>
    <w:pPr>
      <w:numPr>
        <w:numId w:val="16"/>
      </w:numPr>
      <w:tabs>
        <w:tab w:val="num" w:pos="850"/>
      </w:tabs>
      <w:spacing w:before="240" w:after="0"/>
      <w:ind w:left="850" w:hanging="850"/>
      <w:contextualSpacing/>
    </w:pPr>
    <w:rPr>
      <w:rFonts w:ascii="Calibri" w:hAnsi="Calibri"/>
      <w:b/>
      <w:bCs/>
      <w:color w:val="C0504D"/>
      <w:sz w:val="20"/>
      <w:szCs w:val="20"/>
      <w:lang w:eastAsia="de-DE"/>
    </w:rPr>
  </w:style>
  <w:style w:type="character" w:styleId="PlaceholderText">
    <w:name w:val="Placeholder Text"/>
    <w:basedOn w:val="DefaultParagraphFont"/>
    <w:uiPriority w:val="99"/>
    <w:semiHidden/>
    <w:rsid w:val="002D02FC"/>
    <w:rPr>
      <w:color w:val="808080"/>
      <w:shd w:val="clear" w:color="auto" w:fill="auto"/>
    </w:rPr>
  </w:style>
  <w:style w:type="paragraph" w:styleId="Revision">
    <w:name w:val="Revision"/>
    <w:hidden/>
    <w:uiPriority w:val="99"/>
    <w:semiHidden/>
    <w:rsid w:val="001A7867"/>
    <w:rPr>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643CD"/>
    <w:pPr>
      <w:spacing w:before="120" w:after="120"/>
      <w:jc w:val="both"/>
    </w:pPr>
    <w:rPr>
      <w:sz w:val="24"/>
      <w:szCs w:val="24"/>
      <w:lang w:val="en-GB" w:eastAsia="en-US"/>
    </w:rPr>
  </w:style>
  <w:style w:type="paragraph" w:styleId="Heading1">
    <w:name w:val="heading 1"/>
    <w:basedOn w:val="Normal"/>
    <w:next w:val="Normal"/>
    <w:qFormat/>
    <w:rsid w:val="005643CD"/>
    <w:pPr>
      <w:keepNext/>
      <w:numPr>
        <w:numId w:val="8"/>
      </w:numPr>
      <w:spacing w:before="360"/>
      <w:outlineLvl w:val="0"/>
    </w:pPr>
    <w:rPr>
      <w:b/>
      <w:bCs/>
      <w:smallCaps/>
      <w:szCs w:val="32"/>
    </w:rPr>
  </w:style>
  <w:style w:type="paragraph" w:styleId="Heading2">
    <w:name w:val="heading 2"/>
    <w:basedOn w:val="Normal"/>
    <w:next w:val="Normal"/>
    <w:qFormat/>
    <w:rsid w:val="005643CD"/>
    <w:pPr>
      <w:keepNext/>
      <w:numPr>
        <w:ilvl w:val="1"/>
        <w:numId w:val="8"/>
      </w:numPr>
      <w:outlineLvl w:val="1"/>
    </w:pPr>
    <w:rPr>
      <w:b/>
      <w:bCs/>
      <w:iCs/>
      <w:szCs w:val="28"/>
    </w:rPr>
  </w:style>
  <w:style w:type="paragraph" w:styleId="Heading3">
    <w:name w:val="heading 3"/>
    <w:basedOn w:val="Normal"/>
    <w:next w:val="Normal"/>
    <w:qFormat/>
    <w:rsid w:val="005643CD"/>
    <w:pPr>
      <w:keepNext/>
      <w:numPr>
        <w:ilvl w:val="2"/>
        <w:numId w:val="8"/>
      </w:numPr>
      <w:outlineLvl w:val="2"/>
    </w:pPr>
    <w:rPr>
      <w:bCs/>
      <w:i/>
      <w:szCs w:val="26"/>
    </w:rPr>
  </w:style>
  <w:style w:type="paragraph" w:styleId="Heading4">
    <w:name w:val="heading 4"/>
    <w:basedOn w:val="Normal"/>
    <w:next w:val="Normal"/>
    <w:qFormat/>
    <w:rsid w:val="005643CD"/>
    <w:pPr>
      <w:keepNext/>
      <w:numPr>
        <w:ilvl w:val="3"/>
        <w:numId w:val="8"/>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rsid w:val="005643CD"/>
    <w:pPr>
      <w:spacing w:before="0" w:after="240"/>
      <w:jc w:val="center"/>
    </w:pPr>
    <w:rPr>
      <w:b/>
      <w:i/>
    </w:rPr>
  </w:style>
  <w:style w:type="paragraph" w:customStyle="1" w:styleId="AccompagnantPagedecouverture">
    <w:name w:val="Accompagnant (Page de couverture)"/>
    <w:basedOn w:val="Accompagnant"/>
    <w:next w:val="Normal"/>
    <w:rsid w:val="005643CD"/>
  </w:style>
  <w:style w:type="character" w:customStyle="1" w:styleId="Added">
    <w:name w:val="Added"/>
    <w:rsid w:val="005643CD"/>
    <w:rPr>
      <w:b/>
      <w:u w:val="single"/>
      <w:shd w:val="clear" w:color="auto" w:fill="auto"/>
    </w:rPr>
  </w:style>
  <w:style w:type="paragraph" w:customStyle="1" w:styleId="Address">
    <w:name w:val="Address"/>
    <w:basedOn w:val="Normal"/>
    <w:next w:val="Normal"/>
    <w:rsid w:val="005643CD"/>
    <w:pPr>
      <w:keepLines/>
      <w:spacing w:line="360" w:lineRule="auto"/>
      <w:ind w:left="3402"/>
      <w:jc w:val="left"/>
    </w:pPr>
  </w:style>
  <w:style w:type="paragraph" w:customStyle="1" w:styleId="Annexetitre">
    <w:name w:val="Annexe titre"/>
    <w:basedOn w:val="Normal"/>
    <w:next w:val="Normal"/>
    <w:rsid w:val="005643CD"/>
    <w:pPr>
      <w:jc w:val="center"/>
    </w:pPr>
    <w:rPr>
      <w:b/>
      <w:u w:val="single"/>
    </w:rPr>
  </w:style>
  <w:style w:type="paragraph" w:customStyle="1" w:styleId="Annexetitreexpos">
    <w:name w:val="Annexe titre (exposé)"/>
    <w:basedOn w:val="Normal"/>
    <w:next w:val="Normal"/>
    <w:rsid w:val="005643CD"/>
    <w:pPr>
      <w:jc w:val="center"/>
    </w:pPr>
    <w:rPr>
      <w:b/>
      <w:u w:val="single"/>
    </w:rPr>
  </w:style>
  <w:style w:type="paragraph" w:customStyle="1" w:styleId="Annexetitrefichefinancire">
    <w:name w:val="Annexe titre (fiche financière)"/>
    <w:basedOn w:val="Normal"/>
    <w:next w:val="Normal"/>
    <w:rsid w:val="005643CD"/>
    <w:pPr>
      <w:jc w:val="center"/>
    </w:pPr>
    <w:rPr>
      <w:b/>
      <w:u w:val="single"/>
    </w:rPr>
  </w:style>
  <w:style w:type="paragraph" w:customStyle="1" w:styleId="Applicationdirecte">
    <w:name w:val="Application directe"/>
    <w:basedOn w:val="Normal"/>
    <w:next w:val="Normal"/>
    <w:rsid w:val="005643CD"/>
    <w:pPr>
      <w:spacing w:before="480"/>
    </w:pPr>
  </w:style>
  <w:style w:type="paragraph" w:customStyle="1" w:styleId="Avertissementtitre">
    <w:name w:val="Avertissement titre"/>
    <w:basedOn w:val="Normal"/>
    <w:next w:val="Normal"/>
    <w:rsid w:val="005643CD"/>
    <w:pPr>
      <w:keepNext/>
      <w:spacing w:before="480"/>
    </w:pPr>
    <w:rPr>
      <w:u w:val="single"/>
    </w:rPr>
  </w:style>
  <w:style w:type="paragraph" w:customStyle="1" w:styleId="Bullet0">
    <w:name w:val="Bullet 0"/>
    <w:basedOn w:val="Normal"/>
    <w:rsid w:val="005643CD"/>
    <w:pPr>
      <w:numPr>
        <w:numId w:val="1"/>
      </w:numPr>
    </w:pPr>
  </w:style>
  <w:style w:type="paragraph" w:customStyle="1" w:styleId="Bullet1">
    <w:name w:val="Bullet 1"/>
    <w:basedOn w:val="Normal"/>
    <w:rsid w:val="005643CD"/>
    <w:pPr>
      <w:numPr>
        <w:numId w:val="2"/>
      </w:numPr>
    </w:pPr>
  </w:style>
  <w:style w:type="paragraph" w:customStyle="1" w:styleId="Bullet2">
    <w:name w:val="Bullet 2"/>
    <w:basedOn w:val="Normal"/>
    <w:rsid w:val="005643CD"/>
    <w:pPr>
      <w:numPr>
        <w:numId w:val="3"/>
      </w:numPr>
    </w:pPr>
  </w:style>
  <w:style w:type="paragraph" w:customStyle="1" w:styleId="Bullet3">
    <w:name w:val="Bullet 3"/>
    <w:basedOn w:val="Normal"/>
    <w:rsid w:val="005643CD"/>
    <w:pPr>
      <w:numPr>
        <w:numId w:val="4"/>
      </w:numPr>
    </w:pPr>
  </w:style>
  <w:style w:type="paragraph" w:customStyle="1" w:styleId="Bullet4">
    <w:name w:val="Bullet 4"/>
    <w:basedOn w:val="Normal"/>
    <w:rsid w:val="005643CD"/>
    <w:pPr>
      <w:numPr>
        <w:numId w:val="5"/>
      </w:numPr>
    </w:pPr>
  </w:style>
  <w:style w:type="paragraph" w:customStyle="1" w:styleId="ChapterTitle">
    <w:name w:val="ChapterTitle"/>
    <w:basedOn w:val="Normal"/>
    <w:next w:val="Normal"/>
    <w:rsid w:val="005643CD"/>
    <w:pPr>
      <w:keepNext/>
      <w:spacing w:after="360"/>
      <w:jc w:val="center"/>
    </w:pPr>
    <w:rPr>
      <w:b/>
      <w:sz w:val="32"/>
    </w:rPr>
  </w:style>
  <w:style w:type="paragraph" w:customStyle="1" w:styleId="Confidence">
    <w:name w:val="Confidence"/>
    <w:basedOn w:val="Normal"/>
    <w:next w:val="Normal"/>
    <w:rsid w:val="005643CD"/>
    <w:pPr>
      <w:spacing w:before="360"/>
      <w:jc w:val="center"/>
    </w:pPr>
  </w:style>
  <w:style w:type="paragraph" w:customStyle="1" w:styleId="Confidentialit">
    <w:name w:val="Confidentialité"/>
    <w:basedOn w:val="Normal"/>
    <w:next w:val="Normal"/>
    <w:rsid w:val="005643CD"/>
    <w:pPr>
      <w:spacing w:before="240" w:after="240"/>
      <w:ind w:left="5103"/>
    </w:pPr>
    <w:rPr>
      <w:u w:val="single"/>
    </w:rPr>
  </w:style>
  <w:style w:type="paragraph" w:customStyle="1" w:styleId="Considrant">
    <w:name w:val="Considérant"/>
    <w:basedOn w:val="Normal"/>
    <w:rsid w:val="005643CD"/>
    <w:pPr>
      <w:numPr>
        <w:numId w:val="6"/>
      </w:numPr>
    </w:pPr>
  </w:style>
  <w:style w:type="paragraph" w:customStyle="1" w:styleId="Corrigendum">
    <w:name w:val="Corrigendum"/>
    <w:basedOn w:val="Normal"/>
    <w:next w:val="Normal"/>
    <w:rsid w:val="005643CD"/>
    <w:pPr>
      <w:spacing w:before="0" w:after="240"/>
      <w:jc w:val="left"/>
    </w:pPr>
  </w:style>
  <w:style w:type="paragraph" w:customStyle="1" w:styleId="Datedadoption">
    <w:name w:val="Date d'adoption"/>
    <w:basedOn w:val="Normal"/>
    <w:next w:val="Normal"/>
    <w:rsid w:val="005643CD"/>
    <w:pPr>
      <w:spacing w:before="360" w:after="0"/>
      <w:jc w:val="center"/>
    </w:pPr>
    <w:rPr>
      <w:b/>
    </w:rPr>
  </w:style>
  <w:style w:type="paragraph" w:customStyle="1" w:styleId="DatedadoptionPagedecouverture">
    <w:name w:val="Date d'adoption (Page de couverture)"/>
    <w:basedOn w:val="Datedadoption"/>
    <w:next w:val="Normal"/>
    <w:rsid w:val="005643CD"/>
  </w:style>
  <w:style w:type="character" w:customStyle="1" w:styleId="Deleted">
    <w:name w:val="Deleted"/>
    <w:rsid w:val="005643CD"/>
    <w:rPr>
      <w:strike/>
      <w:shd w:val="clear" w:color="auto" w:fill="auto"/>
    </w:rPr>
  </w:style>
  <w:style w:type="paragraph" w:customStyle="1" w:styleId="Emission">
    <w:name w:val="Emission"/>
    <w:basedOn w:val="Normal"/>
    <w:next w:val="Normal"/>
    <w:rsid w:val="005643CD"/>
    <w:pPr>
      <w:spacing w:before="0" w:after="0"/>
      <w:ind w:left="5103"/>
      <w:jc w:val="left"/>
    </w:pPr>
  </w:style>
  <w:style w:type="paragraph" w:customStyle="1" w:styleId="Exposdesmotifstitre">
    <w:name w:val="Exposé des motifs titre"/>
    <w:basedOn w:val="Normal"/>
    <w:next w:val="Normal"/>
    <w:rsid w:val="005643CD"/>
    <w:pPr>
      <w:jc w:val="center"/>
    </w:pPr>
    <w:rPr>
      <w:b/>
      <w:u w:val="single"/>
    </w:rPr>
  </w:style>
  <w:style w:type="paragraph" w:customStyle="1" w:styleId="Fait">
    <w:name w:val="Fait à"/>
    <w:basedOn w:val="Normal"/>
    <w:next w:val="Normal"/>
    <w:rsid w:val="005643CD"/>
    <w:pPr>
      <w:keepNext/>
      <w:spacing w:after="0"/>
    </w:pPr>
  </w:style>
  <w:style w:type="paragraph" w:customStyle="1" w:styleId="Fichefinanciretitre">
    <w:name w:val="Fiche financière titre"/>
    <w:basedOn w:val="Normal"/>
    <w:next w:val="Normal"/>
    <w:rsid w:val="005643CD"/>
    <w:pPr>
      <w:jc w:val="center"/>
    </w:pPr>
    <w:rPr>
      <w:b/>
      <w:u w:val="single"/>
    </w:rPr>
  </w:style>
  <w:style w:type="paragraph" w:styleId="Footer">
    <w:name w:val="footer"/>
    <w:basedOn w:val="Normal"/>
    <w:link w:val="FooterChar"/>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5643CD"/>
    <w:pPr>
      <w:tabs>
        <w:tab w:val="center" w:pos="7285"/>
        <w:tab w:val="center" w:pos="10913"/>
        <w:tab w:val="right" w:pos="15137"/>
      </w:tabs>
      <w:spacing w:before="360" w:after="0"/>
      <w:ind w:left="-567" w:right="-567"/>
      <w:jc w:val="left"/>
    </w:pPr>
  </w:style>
  <w:style w:type="character" w:styleId="FootnoteReference">
    <w:name w:val="footnote reference"/>
    <w:aliases w:val="SUPERS,Odwołanie przypisu,Times 10 Point,Exposant 3 Point,Footnote symbol,Footnote reference number,number,Footnote Reference Superscript,stylish,Знак сноски-FN,Ciae niinee-FN,Знак сноски 1,-E Fußnotenzeichen, Exposant 3 Point,FR,B2,R"/>
    <w:uiPriority w:val="99"/>
    <w:rsid w:val="005643CD"/>
    <w:rPr>
      <w:shd w:val="clear" w:color="auto" w:fill="auto"/>
      <w:vertAlign w:val="superscript"/>
    </w:rPr>
  </w:style>
  <w:style w:type="paragraph" w:styleId="FootnoteText">
    <w:name w:val="footnote text"/>
    <w:basedOn w:val="Normal"/>
    <w:semiHidden/>
    <w:rsid w:val="005643CD"/>
    <w:pPr>
      <w:spacing w:before="0" w:after="0"/>
      <w:ind w:left="720" w:hanging="720"/>
    </w:pPr>
    <w:rPr>
      <w:sz w:val="20"/>
      <w:szCs w:val="20"/>
    </w:rPr>
  </w:style>
  <w:style w:type="paragraph" w:customStyle="1" w:styleId="Formuledadoption">
    <w:name w:val="Formule d'adoption"/>
    <w:basedOn w:val="Normal"/>
    <w:next w:val="Normal"/>
    <w:rsid w:val="005643CD"/>
    <w:pPr>
      <w:keepNext/>
    </w:pPr>
  </w:style>
  <w:style w:type="paragraph" w:styleId="Header">
    <w:name w:val="header"/>
    <w:basedOn w:val="Normal"/>
    <w:link w:val="HeaderChar"/>
    <w:uiPriority w:val="99"/>
    <w:rsid w:val="005643CD"/>
    <w:pPr>
      <w:tabs>
        <w:tab w:val="center" w:pos="4535"/>
        <w:tab w:val="right" w:pos="9071"/>
      </w:tabs>
    </w:pPr>
  </w:style>
  <w:style w:type="paragraph" w:customStyle="1" w:styleId="HeaderLandscape">
    <w:name w:val="HeaderLandscape"/>
    <w:basedOn w:val="Normal"/>
    <w:rsid w:val="005643CD"/>
    <w:pPr>
      <w:tabs>
        <w:tab w:val="center" w:pos="7285"/>
        <w:tab w:val="right" w:pos="14003"/>
      </w:tabs>
    </w:pPr>
  </w:style>
  <w:style w:type="paragraph" w:customStyle="1" w:styleId="Institutionquiagit">
    <w:name w:val="Institution qui agit"/>
    <w:basedOn w:val="Normal"/>
    <w:next w:val="Normal"/>
    <w:rsid w:val="005643CD"/>
    <w:pPr>
      <w:keepNext/>
      <w:spacing w:before="600"/>
    </w:pPr>
  </w:style>
  <w:style w:type="paragraph" w:customStyle="1" w:styleId="Institutionquisigne">
    <w:name w:val="Institution qui signe"/>
    <w:basedOn w:val="Normal"/>
    <w:next w:val="Normal"/>
    <w:rsid w:val="005643CD"/>
    <w:pPr>
      <w:keepNext/>
      <w:tabs>
        <w:tab w:val="left" w:pos="4252"/>
      </w:tabs>
      <w:spacing w:before="720" w:after="0"/>
    </w:pPr>
    <w:rPr>
      <w:i/>
    </w:rPr>
  </w:style>
  <w:style w:type="paragraph" w:customStyle="1" w:styleId="Languesfaisantfoi">
    <w:name w:val="Langues faisant foi"/>
    <w:basedOn w:val="Normal"/>
    <w:next w:val="Normal"/>
    <w:rsid w:val="005643CD"/>
    <w:pPr>
      <w:spacing w:before="360" w:after="0"/>
      <w:jc w:val="center"/>
    </w:pPr>
  </w:style>
  <w:style w:type="paragraph" w:customStyle="1" w:styleId="IntrtEEE">
    <w:name w:val="Intérêt EEE"/>
    <w:basedOn w:val="Languesfaisantfoi"/>
    <w:next w:val="Normal"/>
    <w:rsid w:val="005643CD"/>
    <w:pPr>
      <w:spacing w:after="240"/>
    </w:pPr>
  </w:style>
  <w:style w:type="paragraph" w:customStyle="1" w:styleId="IntrtEEEPagedecouverture">
    <w:name w:val="Intérêt EEE (Page de couverture)"/>
    <w:basedOn w:val="IntrtEEE"/>
    <w:next w:val="Normal"/>
    <w:rsid w:val="005643CD"/>
  </w:style>
  <w:style w:type="paragraph" w:customStyle="1" w:styleId="Langue">
    <w:name w:val="Langue"/>
    <w:basedOn w:val="Normal"/>
    <w:next w:val="Normal"/>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rsid w:val="005643CD"/>
    <w:pPr>
      <w:spacing w:before="360" w:after="0"/>
      <w:jc w:val="center"/>
    </w:pPr>
  </w:style>
  <w:style w:type="paragraph" w:customStyle="1" w:styleId="ManualConsidrant">
    <w:name w:val="Manual Considérant"/>
    <w:basedOn w:val="Normal"/>
    <w:rsid w:val="005643CD"/>
    <w:pPr>
      <w:ind w:left="709" w:hanging="709"/>
    </w:pPr>
  </w:style>
  <w:style w:type="paragraph" w:customStyle="1" w:styleId="ManualHeading1">
    <w:name w:val="Manual Heading 1"/>
    <w:basedOn w:val="Normal"/>
    <w:next w:val="Normal"/>
    <w:rsid w:val="005643CD"/>
    <w:pPr>
      <w:keepNext/>
      <w:tabs>
        <w:tab w:val="left" w:pos="850"/>
      </w:tabs>
      <w:spacing w:before="360"/>
      <w:ind w:left="850" w:hanging="850"/>
      <w:outlineLvl w:val="0"/>
    </w:pPr>
    <w:rPr>
      <w:b/>
      <w:smallCaps/>
    </w:rPr>
  </w:style>
  <w:style w:type="paragraph" w:customStyle="1" w:styleId="ManualHeading2">
    <w:name w:val="Manual Heading 2"/>
    <w:basedOn w:val="Normal"/>
    <w:next w:val="Normal"/>
    <w:rsid w:val="005643CD"/>
    <w:pPr>
      <w:keepNext/>
      <w:tabs>
        <w:tab w:val="left" w:pos="850"/>
      </w:tabs>
      <w:ind w:left="850" w:hanging="850"/>
      <w:outlineLvl w:val="1"/>
    </w:pPr>
    <w:rPr>
      <w:b/>
    </w:rPr>
  </w:style>
  <w:style w:type="paragraph" w:customStyle="1" w:styleId="ManualHeading3">
    <w:name w:val="Manual Heading 3"/>
    <w:basedOn w:val="Normal"/>
    <w:next w:val="Normal"/>
    <w:rsid w:val="005643CD"/>
    <w:pPr>
      <w:keepNext/>
      <w:tabs>
        <w:tab w:val="left" w:pos="850"/>
      </w:tabs>
      <w:ind w:left="850" w:hanging="850"/>
      <w:outlineLvl w:val="2"/>
    </w:pPr>
    <w:rPr>
      <w:i/>
    </w:rPr>
  </w:style>
  <w:style w:type="paragraph" w:customStyle="1" w:styleId="ManualHeading4">
    <w:name w:val="Manual Heading 4"/>
    <w:basedOn w:val="Normal"/>
    <w:next w:val="Normal"/>
    <w:rsid w:val="005643CD"/>
    <w:pPr>
      <w:keepNext/>
      <w:tabs>
        <w:tab w:val="left" w:pos="850"/>
      </w:tabs>
      <w:ind w:left="850" w:hanging="850"/>
      <w:outlineLvl w:val="3"/>
    </w:pPr>
  </w:style>
  <w:style w:type="paragraph" w:customStyle="1" w:styleId="ManualNumPar1">
    <w:name w:val="Manual NumPar 1"/>
    <w:basedOn w:val="Normal"/>
    <w:next w:val="Normal"/>
    <w:rsid w:val="005643CD"/>
    <w:pPr>
      <w:ind w:left="850" w:hanging="850"/>
    </w:pPr>
  </w:style>
  <w:style w:type="paragraph" w:customStyle="1" w:styleId="ManualNumPar2">
    <w:name w:val="Manual NumPar 2"/>
    <w:basedOn w:val="Normal"/>
    <w:next w:val="Normal"/>
    <w:rsid w:val="005643CD"/>
    <w:pPr>
      <w:ind w:left="850" w:hanging="850"/>
    </w:pPr>
  </w:style>
  <w:style w:type="paragraph" w:customStyle="1" w:styleId="ManualNumPar3">
    <w:name w:val="Manual NumPar 3"/>
    <w:basedOn w:val="Normal"/>
    <w:next w:val="Normal"/>
    <w:rsid w:val="005643CD"/>
    <w:pPr>
      <w:ind w:left="850" w:hanging="850"/>
    </w:pPr>
  </w:style>
  <w:style w:type="paragraph" w:customStyle="1" w:styleId="ManualNumPar4">
    <w:name w:val="Manual NumPar 4"/>
    <w:basedOn w:val="Normal"/>
    <w:next w:val="Normal"/>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ormal"/>
    <w:next w:val="Emission"/>
    <w:rsid w:val="005643CD"/>
    <w:pPr>
      <w:spacing w:before="0" w:after="0"/>
      <w:jc w:val="left"/>
    </w:pPr>
    <w:rPr>
      <w:rFonts w:ascii="Arial" w:hAnsi="Arial" w:cs="Arial"/>
    </w:rPr>
  </w:style>
  <w:style w:type="paragraph" w:customStyle="1" w:styleId="NormalCentered">
    <w:name w:val="Normal Centered"/>
    <w:basedOn w:val="Normal"/>
    <w:rsid w:val="005643CD"/>
    <w:pPr>
      <w:jc w:val="center"/>
    </w:pPr>
  </w:style>
  <w:style w:type="paragraph" w:customStyle="1" w:styleId="NormalLeft">
    <w:name w:val="Normal Left"/>
    <w:basedOn w:val="Normal"/>
    <w:rsid w:val="005643CD"/>
    <w:pPr>
      <w:jc w:val="left"/>
    </w:pPr>
  </w:style>
  <w:style w:type="paragraph" w:customStyle="1" w:styleId="NormalRight">
    <w:name w:val="Normal Right"/>
    <w:basedOn w:val="Normal"/>
    <w:rsid w:val="005643CD"/>
    <w:pPr>
      <w:jc w:val="right"/>
    </w:pPr>
  </w:style>
  <w:style w:type="paragraph" w:customStyle="1" w:styleId="NumPar1">
    <w:name w:val="NumPar 1"/>
    <w:basedOn w:val="Normal"/>
    <w:next w:val="Normal"/>
    <w:rsid w:val="005643CD"/>
    <w:pPr>
      <w:numPr>
        <w:numId w:val="9"/>
      </w:numPr>
    </w:pPr>
  </w:style>
  <w:style w:type="paragraph" w:customStyle="1" w:styleId="NumPar2">
    <w:name w:val="NumPar 2"/>
    <w:basedOn w:val="Normal"/>
    <w:next w:val="Normal"/>
    <w:rsid w:val="005643CD"/>
    <w:pPr>
      <w:numPr>
        <w:ilvl w:val="1"/>
        <w:numId w:val="9"/>
      </w:numPr>
    </w:pPr>
  </w:style>
  <w:style w:type="paragraph" w:customStyle="1" w:styleId="NumPar3">
    <w:name w:val="NumPar 3"/>
    <w:basedOn w:val="Normal"/>
    <w:next w:val="Normal"/>
    <w:rsid w:val="005643CD"/>
    <w:pPr>
      <w:numPr>
        <w:ilvl w:val="2"/>
        <w:numId w:val="9"/>
      </w:numPr>
    </w:pPr>
  </w:style>
  <w:style w:type="paragraph" w:customStyle="1" w:styleId="NumPar4">
    <w:name w:val="NumPar 4"/>
    <w:basedOn w:val="Normal"/>
    <w:next w:val="Normal"/>
    <w:rsid w:val="005643CD"/>
    <w:pPr>
      <w:numPr>
        <w:ilvl w:val="3"/>
        <w:numId w:val="9"/>
      </w:numPr>
    </w:pPr>
  </w:style>
  <w:style w:type="paragraph" w:customStyle="1" w:styleId="Objetacteprincipal">
    <w:name w:val="Objet acte principal"/>
    <w:basedOn w:val="Normal"/>
    <w:next w:val="Normal"/>
    <w:rsid w:val="005643CD"/>
    <w:pPr>
      <w:spacing w:before="0" w:after="360"/>
      <w:jc w:val="center"/>
    </w:pPr>
    <w:rPr>
      <w:b/>
    </w:rPr>
  </w:style>
  <w:style w:type="paragraph" w:customStyle="1" w:styleId="ObjetacteprincipalPagedecouverture">
    <w:name w:val="Objet acte principal (Page de couverture)"/>
    <w:basedOn w:val="Objetacteprincipal"/>
    <w:next w:val="Normal"/>
    <w:rsid w:val="005643CD"/>
  </w:style>
  <w:style w:type="paragraph" w:customStyle="1" w:styleId="Objetexterne">
    <w:name w:val="Objet externe"/>
    <w:basedOn w:val="Normal"/>
    <w:next w:val="Normal"/>
    <w:rsid w:val="005643CD"/>
    <w:rPr>
      <w:i/>
      <w:caps/>
    </w:rPr>
  </w:style>
  <w:style w:type="paragraph" w:customStyle="1" w:styleId="Pagedecouverture">
    <w:name w:val="Page de couverture"/>
    <w:basedOn w:val="Normal"/>
    <w:next w:val="Normal"/>
    <w:rsid w:val="005643CD"/>
  </w:style>
  <w:style w:type="paragraph" w:customStyle="1" w:styleId="PartTitle">
    <w:name w:val="PartTitle"/>
    <w:basedOn w:val="Normal"/>
    <w:next w:val="ChapterTitle"/>
    <w:rsid w:val="005643CD"/>
    <w:pPr>
      <w:keepNext/>
      <w:pageBreakBefore/>
      <w:spacing w:after="360"/>
      <w:jc w:val="center"/>
    </w:pPr>
    <w:rPr>
      <w:b/>
      <w:sz w:val="36"/>
    </w:rPr>
  </w:style>
  <w:style w:type="paragraph" w:customStyle="1" w:styleId="Personnequisigne">
    <w:name w:val="Personne qui signe"/>
    <w:basedOn w:val="Normal"/>
    <w:next w:val="Institutionquisigne"/>
    <w:rsid w:val="005643CD"/>
    <w:pPr>
      <w:tabs>
        <w:tab w:val="left" w:pos="4252"/>
      </w:tabs>
      <w:spacing w:before="0" w:after="0"/>
      <w:jc w:val="left"/>
    </w:pPr>
    <w:rPr>
      <w:i/>
    </w:rPr>
  </w:style>
  <w:style w:type="paragraph" w:customStyle="1" w:styleId="Point0">
    <w:name w:val="Point 0"/>
    <w:basedOn w:val="Normal"/>
    <w:rsid w:val="005643CD"/>
    <w:pPr>
      <w:ind w:left="850" w:hanging="850"/>
    </w:pPr>
  </w:style>
  <w:style w:type="paragraph" w:customStyle="1" w:styleId="Point0letter">
    <w:name w:val="Point 0 (letter)"/>
    <w:basedOn w:val="Normal"/>
    <w:rsid w:val="005643CD"/>
    <w:pPr>
      <w:numPr>
        <w:ilvl w:val="1"/>
        <w:numId w:val="10"/>
      </w:numPr>
    </w:pPr>
  </w:style>
  <w:style w:type="paragraph" w:customStyle="1" w:styleId="Point0number">
    <w:name w:val="Point 0 (number)"/>
    <w:basedOn w:val="Normal"/>
    <w:rsid w:val="005643CD"/>
    <w:pPr>
      <w:numPr>
        <w:numId w:val="10"/>
      </w:numPr>
    </w:pPr>
  </w:style>
  <w:style w:type="paragraph" w:customStyle="1" w:styleId="Point1">
    <w:name w:val="Point 1"/>
    <w:basedOn w:val="Normal"/>
    <w:rsid w:val="005643CD"/>
    <w:pPr>
      <w:ind w:left="1417" w:hanging="567"/>
    </w:pPr>
  </w:style>
  <w:style w:type="paragraph" w:customStyle="1" w:styleId="Point1letter">
    <w:name w:val="Point 1 (letter)"/>
    <w:basedOn w:val="Normal"/>
    <w:rsid w:val="005643CD"/>
    <w:pPr>
      <w:numPr>
        <w:ilvl w:val="3"/>
        <w:numId w:val="10"/>
      </w:numPr>
    </w:pPr>
  </w:style>
  <w:style w:type="paragraph" w:customStyle="1" w:styleId="Point1number">
    <w:name w:val="Point 1 (number)"/>
    <w:basedOn w:val="Normal"/>
    <w:rsid w:val="005643CD"/>
    <w:pPr>
      <w:numPr>
        <w:ilvl w:val="2"/>
        <w:numId w:val="10"/>
      </w:numPr>
    </w:pPr>
  </w:style>
  <w:style w:type="paragraph" w:customStyle="1" w:styleId="Point2">
    <w:name w:val="Point 2"/>
    <w:basedOn w:val="Normal"/>
    <w:rsid w:val="005643CD"/>
    <w:pPr>
      <w:ind w:left="1984" w:hanging="567"/>
    </w:pPr>
  </w:style>
  <w:style w:type="paragraph" w:customStyle="1" w:styleId="Point2letter">
    <w:name w:val="Point 2 (letter)"/>
    <w:basedOn w:val="Normal"/>
    <w:rsid w:val="005643CD"/>
    <w:pPr>
      <w:numPr>
        <w:ilvl w:val="5"/>
        <w:numId w:val="10"/>
      </w:numPr>
    </w:pPr>
  </w:style>
  <w:style w:type="paragraph" w:customStyle="1" w:styleId="Point2number">
    <w:name w:val="Point 2 (number)"/>
    <w:basedOn w:val="Normal"/>
    <w:rsid w:val="005643CD"/>
    <w:pPr>
      <w:numPr>
        <w:ilvl w:val="4"/>
        <w:numId w:val="10"/>
      </w:numPr>
    </w:pPr>
  </w:style>
  <w:style w:type="paragraph" w:customStyle="1" w:styleId="Point3">
    <w:name w:val="Point 3"/>
    <w:basedOn w:val="Normal"/>
    <w:rsid w:val="005643CD"/>
    <w:pPr>
      <w:ind w:left="2551" w:hanging="567"/>
    </w:pPr>
  </w:style>
  <w:style w:type="paragraph" w:customStyle="1" w:styleId="Point3letter">
    <w:name w:val="Point 3 (letter)"/>
    <w:basedOn w:val="Normal"/>
    <w:rsid w:val="005643CD"/>
    <w:pPr>
      <w:numPr>
        <w:ilvl w:val="7"/>
        <w:numId w:val="10"/>
      </w:numPr>
    </w:pPr>
  </w:style>
  <w:style w:type="paragraph" w:customStyle="1" w:styleId="Point3number">
    <w:name w:val="Point 3 (number)"/>
    <w:basedOn w:val="Normal"/>
    <w:rsid w:val="005643CD"/>
    <w:pPr>
      <w:numPr>
        <w:ilvl w:val="6"/>
        <w:numId w:val="10"/>
      </w:numPr>
    </w:pPr>
  </w:style>
  <w:style w:type="paragraph" w:customStyle="1" w:styleId="Point4">
    <w:name w:val="Point 4"/>
    <w:basedOn w:val="Normal"/>
    <w:rsid w:val="005643CD"/>
    <w:pPr>
      <w:ind w:left="3118" w:hanging="567"/>
    </w:pPr>
  </w:style>
  <w:style w:type="paragraph" w:customStyle="1" w:styleId="Point4letter">
    <w:name w:val="Point 4 (letter)"/>
    <w:basedOn w:val="Normal"/>
    <w:rsid w:val="005643CD"/>
    <w:pPr>
      <w:numPr>
        <w:ilvl w:val="8"/>
        <w:numId w:val="10"/>
      </w:numPr>
    </w:pPr>
  </w:style>
  <w:style w:type="paragraph" w:customStyle="1" w:styleId="PointDouble0">
    <w:name w:val="PointDouble 0"/>
    <w:basedOn w:val="Normal"/>
    <w:rsid w:val="005643CD"/>
    <w:pPr>
      <w:tabs>
        <w:tab w:val="left" w:pos="850"/>
      </w:tabs>
      <w:ind w:left="1417" w:hanging="1417"/>
    </w:pPr>
  </w:style>
  <w:style w:type="paragraph" w:customStyle="1" w:styleId="PointDouble1">
    <w:name w:val="PointDouble 1"/>
    <w:basedOn w:val="Normal"/>
    <w:rsid w:val="005643CD"/>
    <w:pPr>
      <w:tabs>
        <w:tab w:val="left" w:pos="1417"/>
      </w:tabs>
      <w:ind w:left="1984" w:hanging="1134"/>
    </w:pPr>
  </w:style>
  <w:style w:type="paragraph" w:customStyle="1" w:styleId="PointDouble2">
    <w:name w:val="PointDouble 2"/>
    <w:basedOn w:val="Normal"/>
    <w:rsid w:val="005643CD"/>
    <w:pPr>
      <w:tabs>
        <w:tab w:val="left" w:pos="1984"/>
      </w:tabs>
      <w:ind w:left="2551" w:hanging="1134"/>
    </w:pPr>
  </w:style>
  <w:style w:type="paragraph" w:customStyle="1" w:styleId="PointDouble3">
    <w:name w:val="PointDouble 3"/>
    <w:basedOn w:val="Normal"/>
    <w:rsid w:val="005643CD"/>
    <w:pPr>
      <w:tabs>
        <w:tab w:val="left" w:pos="2551"/>
      </w:tabs>
      <w:ind w:left="3118" w:hanging="1134"/>
    </w:pPr>
  </w:style>
  <w:style w:type="paragraph" w:customStyle="1" w:styleId="PointDouble4">
    <w:name w:val="PointDouble 4"/>
    <w:basedOn w:val="Normal"/>
    <w:rsid w:val="005643CD"/>
    <w:pPr>
      <w:tabs>
        <w:tab w:val="left" w:pos="3118"/>
      </w:tabs>
      <w:ind w:left="3685" w:hanging="1134"/>
    </w:pPr>
  </w:style>
  <w:style w:type="paragraph" w:customStyle="1" w:styleId="PointTriple0">
    <w:name w:val="PointTriple 0"/>
    <w:basedOn w:val="Normal"/>
    <w:rsid w:val="005643CD"/>
    <w:pPr>
      <w:tabs>
        <w:tab w:val="left" w:pos="850"/>
        <w:tab w:val="left" w:pos="1417"/>
      </w:tabs>
      <w:ind w:left="1984" w:hanging="1984"/>
    </w:pPr>
  </w:style>
  <w:style w:type="paragraph" w:customStyle="1" w:styleId="PointTriple1">
    <w:name w:val="PointTriple 1"/>
    <w:basedOn w:val="Normal"/>
    <w:rsid w:val="005643CD"/>
    <w:pPr>
      <w:tabs>
        <w:tab w:val="left" w:pos="1417"/>
        <w:tab w:val="left" w:pos="1984"/>
      </w:tabs>
      <w:ind w:left="2551" w:hanging="1701"/>
    </w:pPr>
  </w:style>
  <w:style w:type="paragraph" w:customStyle="1" w:styleId="PointTriple2">
    <w:name w:val="PointTriple 2"/>
    <w:basedOn w:val="Normal"/>
    <w:rsid w:val="005643CD"/>
    <w:pPr>
      <w:tabs>
        <w:tab w:val="left" w:pos="1984"/>
        <w:tab w:val="left" w:pos="2551"/>
      </w:tabs>
      <w:ind w:left="3118" w:hanging="1701"/>
    </w:pPr>
  </w:style>
  <w:style w:type="paragraph" w:customStyle="1" w:styleId="PointTriple3">
    <w:name w:val="PointTriple 3"/>
    <w:basedOn w:val="Normal"/>
    <w:rsid w:val="005643CD"/>
    <w:pPr>
      <w:tabs>
        <w:tab w:val="left" w:pos="2551"/>
        <w:tab w:val="left" w:pos="3118"/>
      </w:tabs>
      <w:ind w:left="3685" w:hanging="1701"/>
    </w:pPr>
  </w:style>
  <w:style w:type="paragraph" w:customStyle="1" w:styleId="PointTriple4">
    <w:name w:val="PointTriple 4"/>
    <w:basedOn w:val="Normal"/>
    <w:rsid w:val="005643CD"/>
    <w:pPr>
      <w:tabs>
        <w:tab w:val="left" w:pos="3118"/>
        <w:tab w:val="left" w:pos="3685"/>
      </w:tabs>
      <w:ind w:left="4252" w:hanging="1701"/>
    </w:pPr>
  </w:style>
  <w:style w:type="paragraph" w:customStyle="1" w:styleId="QuotedNumPar">
    <w:name w:val="Quoted NumPar"/>
    <w:basedOn w:val="Normal"/>
    <w:rsid w:val="005643CD"/>
    <w:pPr>
      <w:ind w:left="1417" w:hanging="567"/>
    </w:pPr>
  </w:style>
  <w:style w:type="paragraph" w:customStyle="1" w:styleId="QuotedText">
    <w:name w:val="Quoted Text"/>
    <w:basedOn w:val="Normal"/>
    <w:rsid w:val="005643CD"/>
    <w:pPr>
      <w:ind w:left="1417"/>
    </w:pPr>
  </w:style>
  <w:style w:type="paragraph" w:customStyle="1" w:styleId="Rfrencecroise">
    <w:name w:val="Référence croisée"/>
    <w:basedOn w:val="Normal"/>
    <w:rsid w:val="005643CD"/>
    <w:pPr>
      <w:spacing w:before="0" w:after="0"/>
      <w:jc w:val="center"/>
    </w:pPr>
  </w:style>
  <w:style w:type="paragraph" w:customStyle="1" w:styleId="Rfrenceinstitutionnelle">
    <w:name w:val="Référence institutionnelle"/>
    <w:basedOn w:val="Normal"/>
    <w:next w:val="Confidentialit"/>
    <w:rsid w:val="005643CD"/>
    <w:pPr>
      <w:spacing w:before="0" w:after="240"/>
      <w:ind w:left="5103"/>
      <w:jc w:val="left"/>
    </w:pPr>
  </w:style>
  <w:style w:type="paragraph" w:customStyle="1" w:styleId="Rfrenceinterinstitutionnelle">
    <w:name w:val="Référence interinstitutionnelle"/>
    <w:basedOn w:val="Normal"/>
    <w:next w:val="Normal"/>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ormal"/>
    <w:next w:val="Rfrenceinterinstitutionnelle"/>
    <w:rsid w:val="005643CD"/>
    <w:pPr>
      <w:spacing w:before="0" w:after="0"/>
      <w:ind w:left="5103"/>
      <w:jc w:val="left"/>
    </w:pPr>
  </w:style>
  <w:style w:type="paragraph" w:customStyle="1" w:styleId="SectionTitle">
    <w:name w:val="SectionTitle"/>
    <w:basedOn w:val="Normal"/>
    <w:next w:val="Heading1"/>
    <w:rsid w:val="005643CD"/>
    <w:pPr>
      <w:keepNext/>
      <w:spacing w:after="360"/>
      <w:jc w:val="center"/>
    </w:pPr>
    <w:rPr>
      <w:b/>
      <w:smallCaps/>
      <w:sz w:val="28"/>
    </w:rPr>
  </w:style>
  <w:style w:type="paragraph" w:customStyle="1" w:styleId="Sous-titreobjet">
    <w:name w:val="Sous-titre objet"/>
    <w:basedOn w:val="Normal"/>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ormal"/>
    <w:next w:val="Normal"/>
    <w:rsid w:val="005643CD"/>
    <w:pPr>
      <w:spacing w:before="360" w:after="0"/>
      <w:jc w:val="center"/>
    </w:pPr>
  </w:style>
  <w:style w:type="paragraph" w:customStyle="1" w:styleId="StatutPagedecouverture">
    <w:name w:val="Statut (Page de couverture)"/>
    <w:basedOn w:val="Statut"/>
    <w:next w:val="Normal"/>
    <w:rsid w:val="005643CD"/>
  </w:style>
  <w:style w:type="paragraph" w:customStyle="1" w:styleId="Supertitre">
    <w:name w:val="Supertitre"/>
    <w:basedOn w:val="Normal"/>
    <w:next w:val="Normal"/>
    <w:rsid w:val="005643CD"/>
    <w:pPr>
      <w:spacing w:before="0" w:after="600"/>
      <w:jc w:val="center"/>
    </w:pPr>
    <w:rPr>
      <w:b/>
    </w:rPr>
  </w:style>
  <w:style w:type="paragraph" w:customStyle="1" w:styleId="TableTitle">
    <w:name w:val="Table Title"/>
    <w:basedOn w:val="Normal"/>
    <w:next w:val="Normal"/>
    <w:rsid w:val="005643CD"/>
    <w:pPr>
      <w:jc w:val="center"/>
    </w:pPr>
    <w:rPr>
      <w:b/>
    </w:rPr>
  </w:style>
  <w:style w:type="paragraph" w:customStyle="1" w:styleId="Text1">
    <w:name w:val="Text 1"/>
    <w:basedOn w:val="Normal"/>
    <w:rsid w:val="005643CD"/>
    <w:pPr>
      <w:ind w:left="850"/>
    </w:pPr>
  </w:style>
  <w:style w:type="paragraph" w:customStyle="1" w:styleId="Text2">
    <w:name w:val="Text 2"/>
    <w:basedOn w:val="Normal"/>
    <w:rsid w:val="005643CD"/>
    <w:pPr>
      <w:ind w:left="1417"/>
    </w:pPr>
  </w:style>
  <w:style w:type="paragraph" w:customStyle="1" w:styleId="Text3">
    <w:name w:val="Text 3"/>
    <w:basedOn w:val="Normal"/>
    <w:rsid w:val="005643CD"/>
    <w:pPr>
      <w:ind w:left="1984"/>
    </w:pPr>
  </w:style>
  <w:style w:type="paragraph" w:customStyle="1" w:styleId="Text4">
    <w:name w:val="Text 4"/>
    <w:basedOn w:val="Normal"/>
    <w:rsid w:val="005643CD"/>
    <w:pPr>
      <w:ind w:left="2551"/>
    </w:pPr>
  </w:style>
  <w:style w:type="paragraph" w:customStyle="1" w:styleId="Tiret0">
    <w:name w:val="Tiret 0"/>
    <w:basedOn w:val="Point0"/>
    <w:rsid w:val="005643CD"/>
    <w:pPr>
      <w:numPr>
        <w:numId w:val="11"/>
      </w:numPr>
    </w:pPr>
  </w:style>
  <w:style w:type="paragraph" w:customStyle="1" w:styleId="Tiret1">
    <w:name w:val="Tiret 1"/>
    <w:basedOn w:val="Point1"/>
    <w:rsid w:val="005643CD"/>
    <w:pPr>
      <w:numPr>
        <w:numId w:val="12"/>
      </w:numPr>
    </w:pPr>
  </w:style>
  <w:style w:type="paragraph" w:customStyle="1" w:styleId="Tiret2">
    <w:name w:val="Tiret 2"/>
    <w:basedOn w:val="Point2"/>
    <w:rsid w:val="005643CD"/>
    <w:pPr>
      <w:numPr>
        <w:numId w:val="13"/>
      </w:numPr>
    </w:pPr>
  </w:style>
  <w:style w:type="paragraph" w:customStyle="1" w:styleId="Tiret3">
    <w:name w:val="Tiret 3"/>
    <w:basedOn w:val="Point3"/>
    <w:rsid w:val="005643CD"/>
    <w:pPr>
      <w:numPr>
        <w:numId w:val="14"/>
      </w:numPr>
    </w:pPr>
  </w:style>
  <w:style w:type="paragraph" w:customStyle="1" w:styleId="Tiret4">
    <w:name w:val="Tiret 4"/>
    <w:basedOn w:val="Point4"/>
    <w:rsid w:val="005643CD"/>
    <w:pPr>
      <w:numPr>
        <w:numId w:val="15"/>
      </w:numPr>
    </w:pPr>
  </w:style>
  <w:style w:type="paragraph" w:customStyle="1" w:styleId="Titrearticle">
    <w:name w:val="Titre article"/>
    <w:basedOn w:val="Normal"/>
    <w:next w:val="Normal"/>
    <w:rsid w:val="005643CD"/>
    <w:pPr>
      <w:keepNext/>
      <w:spacing w:before="360"/>
      <w:jc w:val="center"/>
    </w:pPr>
    <w:rPr>
      <w:i/>
    </w:rPr>
  </w:style>
  <w:style w:type="paragraph" w:customStyle="1" w:styleId="Titreobjet">
    <w:name w:val="Titre objet"/>
    <w:basedOn w:val="Normal"/>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TOC1">
    <w:name w:val="toc 1"/>
    <w:basedOn w:val="Normal"/>
    <w:next w:val="Normal"/>
    <w:uiPriority w:val="39"/>
    <w:rsid w:val="005643CD"/>
    <w:pPr>
      <w:tabs>
        <w:tab w:val="right" w:leader="dot" w:pos="9071"/>
      </w:tabs>
      <w:spacing w:before="60"/>
      <w:ind w:left="850" w:hanging="850"/>
      <w:jc w:val="left"/>
    </w:pPr>
  </w:style>
  <w:style w:type="paragraph" w:styleId="TOC2">
    <w:name w:val="toc 2"/>
    <w:basedOn w:val="Normal"/>
    <w:next w:val="Normal"/>
    <w:uiPriority w:val="39"/>
    <w:rsid w:val="005643CD"/>
    <w:pPr>
      <w:tabs>
        <w:tab w:val="right" w:leader="dot" w:pos="9071"/>
      </w:tabs>
      <w:spacing w:before="60"/>
      <w:ind w:left="850" w:hanging="850"/>
      <w:jc w:val="left"/>
    </w:pPr>
  </w:style>
  <w:style w:type="paragraph" w:styleId="TOC3">
    <w:name w:val="toc 3"/>
    <w:basedOn w:val="Normal"/>
    <w:next w:val="Normal"/>
    <w:semiHidden/>
    <w:rsid w:val="005643CD"/>
    <w:pPr>
      <w:tabs>
        <w:tab w:val="right" w:leader="dot" w:pos="9071"/>
      </w:tabs>
      <w:spacing w:before="60"/>
      <w:ind w:left="850" w:hanging="850"/>
      <w:jc w:val="left"/>
    </w:pPr>
  </w:style>
  <w:style w:type="paragraph" w:styleId="TOC4">
    <w:name w:val="toc 4"/>
    <w:basedOn w:val="Normal"/>
    <w:next w:val="Normal"/>
    <w:semiHidden/>
    <w:rsid w:val="005643CD"/>
    <w:pPr>
      <w:tabs>
        <w:tab w:val="right" w:leader="dot" w:pos="9071"/>
      </w:tabs>
      <w:spacing w:before="60"/>
      <w:ind w:left="850" w:hanging="850"/>
      <w:jc w:val="left"/>
    </w:pPr>
  </w:style>
  <w:style w:type="paragraph" w:styleId="TOC5">
    <w:name w:val="toc 5"/>
    <w:basedOn w:val="Normal"/>
    <w:next w:val="Normal"/>
    <w:semiHidden/>
    <w:rsid w:val="005643CD"/>
    <w:pPr>
      <w:tabs>
        <w:tab w:val="right" w:leader="dot" w:pos="9071"/>
      </w:tabs>
      <w:spacing w:before="300"/>
      <w:jc w:val="left"/>
    </w:pPr>
  </w:style>
  <w:style w:type="paragraph" w:styleId="TOC6">
    <w:name w:val="toc 6"/>
    <w:basedOn w:val="Normal"/>
    <w:next w:val="Normal"/>
    <w:semiHidden/>
    <w:rsid w:val="005643CD"/>
    <w:pPr>
      <w:tabs>
        <w:tab w:val="right" w:leader="dot" w:pos="9071"/>
      </w:tabs>
      <w:spacing w:before="240"/>
      <w:jc w:val="left"/>
    </w:pPr>
  </w:style>
  <w:style w:type="paragraph" w:styleId="TOC7">
    <w:name w:val="toc 7"/>
    <w:basedOn w:val="Normal"/>
    <w:next w:val="Normal"/>
    <w:semiHidden/>
    <w:rsid w:val="005643CD"/>
    <w:pPr>
      <w:tabs>
        <w:tab w:val="right" w:leader="dot" w:pos="9071"/>
      </w:tabs>
      <w:spacing w:before="180"/>
      <w:jc w:val="left"/>
    </w:pPr>
  </w:style>
  <w:style w:type="paragraph" w:styleId="TOC8">
    <w:name w:val="toc 8"/>
    <w:basedOn w:val="Normal"/>
    <w:next w:val="Normal"/>
    <w:semiHidden/>
    <w:rsid w:val="005643CD"/>
    <w:pPr>
      <w:tabs>
        <w:tab w:val="right" w:leader="dot" w:pos="9071"/>
      </w:tabs>
      <w:jc w:val="left"/>
    </w:pPr>
  </w:style>
  <w:style w:type="paragraph" w:styleId="TOC9">
    <w:name w:val="toc 9"/>
    <w:basedOn w:val="Normal"/>
    <w:next w:val="Normal"/>
    <w:semiHidden/>
    <w:rsid w:val="005643CD"/>
    <w:pPr>
      <w:tabs>
        <w:tab w:val="right" w:leader="dot" w:pos="9071"/>
      </w:tabs>
    </w:pPr>
  </w:style>
  <w:style w:type="paragraph" w:styleId="TOCHeading">
    <w:name w:val="TOC Heading"/>
    <w:basedOn w:val="Normal"/>
    <w:next w:val="Normal"/>
    <w:qFormat/>
    <w:rsid w:val="005643CD"/>
    <w:pPr>
      <w:spacing w:after="240"/>
      <w:jc w:val="center"/>
    </w:pPr>
    <w:rPr>
      <w:b/>
      <w:sz w:val="28"/>
    </w:rPr>
  </w:style>
  <w:style w:type="paragraph" w:customStyle="1" w:styleId="Typeacteprincipal">
    <w:name w:val="Type acte principal"/>
    <w:basedOn w:val="Normal"/>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ormal"/>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ormal"/>
    <w:next w:val="Confidentialit"/>
    <w:rsid w:val="005643CD"/>
    <w:pPr>
      <w:spacing w:before="0" w:after="240"/>
      <w:ind w:left="5103"/>
      <w:jc w:val="left"/>
    </w:pPr>
  </w:style>
  <w:style w:type="paragraph" w:customStyle="1" w:styleId="Default">
    <w:name w:val="Default"/>
    <w:rsid w:val="00287E6F"/>
    <w:pPr>
      <w:autoSpaceDE w:val="0"/>
      <w:autoSpaceDN w:val="0"/>
      <w:adjustRightInd w:val="0"/>
    </w:pPr>
    <w:rPr>
      <w:rFonts w:ascii="Arial" w:hAnsi="Arial" w:cs="Arial"/>
      <w:color w:val="000000"/>
      <w:sz w:val="24"/>
      <w:szCs w:val="24"/>
      <w:lang w:val="en-GB" w:eastAsia="en-GB"/>
    </w:rPr>
  </w:style>
  <w:style w:type="paragraph" w:styleId="ListParagraph">
    <w:name w:val="List Paragraph"/>
    <w:aliases w:val="FooterText,Paragraphe de liste1,1st level - Bullet List Paragraph,Lettre d'introduction,Paragrafo elenco,List Paragraph1,Medium Grid 1 - Accent 21,Heading 2_sj,Numbered Para 1,Dot pt,No Spacing1,List Paragraph Char Char Char"/>
    <w:basedOn w:val="Normal"/>
    <w:link w:val="ListParagraphChar"/>
    <w:uiPriority w:val="34"/>
    <w:qFormat/>
    <w:rsid w:val="00287E6F"/>
    <w:pPr>
      <w:spacing w:before="0"/>
      <w:ind w:left="720"/>
      <w:jc w:val="left"/>
    </w:pPr>
    <w:rPr>
      <w:rFonts w:ascii="Arial" w:hAnsi="Arial"/>
      <w:sz w:val="22"/>
      <w:szCs w:val="22"/>
    </w:rPr>
  </w:style>
  <w:style w:type="paragraph" w:styleId="NormalWeb">
    <w:name w:val="Normal (Web)"/>
    <w:basedOn w:val="Normal"/>
    <w:uiPriority w:val="99"/>
    <w:rsid w:val="00287E6F"/>
    <w:pPr>
      <w:spacing w:before="100" w:beforeAutospacing="1" w:after="100" w:afterAutospacing="1"/>
      <w:jc w:val="left"/>
    </w:pPr>
    <w:rPr>
      <w:lang w:eastAsia="en-GB"/>
    </w:rPr>
  </w:style>
  <w:style w:type="character" w:customStyle="1" w:styleId="FooterChar">
    <w:name w:val="Footer Char"/>
    <w:link w:val="Footer"/>
    <w:uiPriority w:val="99"/>
    <w:rsid w:val="002433D5"/>
    <w:rPr>
      <w:sz w:val="24"/>
      <w:szCs w:val="24"/>
      <w:lang w:eastAsia="en-US"/>
    </w:rPr>
  </w:style>
  <w:style w:type="character" w:customStyle="1" w:styleId="HeaderChar">
    <w:name w:val="Header Char"/>
    <w:link w:val="Header"/>
    <w:uiPriority w:val="99"/>
    <w:rsid w:val="002433D5"/>
    <w:rPr>
      <w:sz w:val="24"/>
      <w:szCs w:val="24"/>
      <w:lang w:eastAsia="en-US"/>
    </w:rPr>
  </w:style>
  <w:style w:type="character" w:styleId="Hyperlink">
    <w:name w:val="Hyperlink"/>
    <w:uiPriority w:val="99"/>
    <w:unhideWhenUsed/>
    <w:rsid w:val="00394457"/>
    <w:rPr>
      <w:color w:val="0000FF"/>
      <w:u w:val="single"/>
      <w:shd w:val="clear" w:color="auto" w:fill="auto"/>
    </w:rPr>
  </w:style>
  <w:style w:type="paragraph" w:customStyle="1" w:styleId="ZCom">
    <w:name w:val="Z_Com"/>
    <w:basedOn w:val="Normal"/>
    <w:next w:val="ZDGName"/>
    <w:uiPriority w:val="99"/>
    <w:rsid w:val="00147B3C"/>
    <w:pPr>
      <w:widowControl w:val="0"/>
      <w:autoSpaceDE w:val="0"/>
      <w:autoSpaceDN w:val="0"/>
      <w:spacing w:before="0" w:after="0"/>
      <w:ind w:right="85"/>
    </w:pPr>
    <w:rPr>
      <w:rFonts w:ascii="Arial" w:hAnsi="Arial" w:cs="Arial"/>
      <w:lang w:eastAsia="en-GB"/>
    </w:rPr>
  </w:style>
  <w:style w:type="paragraph" w:customStyle="1" w:styleId="ZDGName">
    <w:name w:val="Z_DGName"/>
    <w:basedOn w:val="Normal"/>
    <w:uiPriority w:val="99"/>
    <w:rsid w:val="00147B3C"/>
    <w:pPr>
      <w:widowControl w:val="0"/>
      <w:autoSpaceDE w:val="0"/>
      <w:autoSpaceDN w:val="0"/>
      <w:spacing w:before="0" w:after="0"/>
      <w:ind w:right="85"/>
      <w:jc w:val="left"/>
    </w:pPr>
    <w:rPr>
      <w:rFonts w:ascii="Arial" w:hAnsi="Arial" w:cs="Arial"/>
      <w:sz w:val="16"/>
      <w:szCs w:val="16"/>
      <w:lang w:eastAsia="en-GB"/>
    </w:rPr>
  </w:style>
  <w:style w:type="paragraph" w:customStyle="1" w:styleId="foonote">
    <w:name w:val="foonote"/>
    <w:basedOn w:val="FootnoteText"/>
    <w:link w:val="foonoteChar"/>
    <w:qFormat/>
    <w:rsid w:val="00273513"/>
    <w:pPr>
      <w:ind w:left="567" w:firstLine="0"/>
      <w:jc w:val="left"/>
    </w:pPr>
    <w:rPr>
      <w:rFonts w:ascii="Arial" w:eastAsia="Calibri" w:hAnsi="Arial" w:cs="Arial"/>
      <w:sz w:val="16"/>
      <w:szCs w:val="16"/>
    </w:rPr>
  </w:style>
  <w:style w:type="character" w:customStyle="1" w:styleId="foonoteChar">
    <w:name w:val="foonote Char"/>
    <w:link w:val="foonote"/>
    <w:rsid w:val="00273513"/>
    <w:rPr>
      <w:rFonts w:ascii="Arial" w:eastAsia="Calibri" w:hAnsi="Arial" w:cs="Arial"/>
      <w:sz w:val="16"/>
      <w:szCs w:val="16"/>
      <w:lang w:eastAsia="en-US"/>
    </w:rPr>
  </w:style>
  <w:style w:type="character" w:customStyle="1" w:styleId="ListParagraphChar">
    <w:name w:val="List Paragraph Char"/>
    <w:aliases w:val="FooterText Char,Paragraphe de liste1 Char,1st level - Bullet List Paragraph Char,Lettre d'introduction Char,Paragrafo elenco Char,List Paragraph1 Char,Medium Grid 1 - Accent 21 Char,Heading 2_sj Char,Numbered Para 1 Char,Dot pt Char"/>
    <w:link w:val="ListParagraph"/>
    <w:uiPriority w:val="34"/>
    <w:qFormat/>
    <w:locked/>
    <w:rsid w:val="00273513"/>
    <w:rPr>
      <w:rFonts w:ascii="Arial" w:hAnsi="Arial"/>
      <w:sz w:val="22"/>
      <w:szCs w:val="22"/>
      <w:lang w:eastAsia="en-US"/>
    </w:rPr>
  </w:style>
  <w:style w:type="paragraph" w:styleId="PlainText">
    <w:name w:val="Plain Text"/>
    <w:basedOn w:val="Normal"/>
    <w:link w:val="PlainTextChar"/>
    <w:uiPriority w:val="99"/>
    <w:unhideWhenUsed/>
    <w:rsid w:val="00273513"/>
    <w:pPr>
      <w:spacing w:before="0" w:after="0"/>
      <w:jc w:val="left"/>
    </w:pPr>
    <w:rPr>
      <w:rFonts w:ascii="Calibri" w:eastAsia="Calibri" w:hAnsi="Calibri"/>
      <w:sz w:val="22"/>
      <w:szCs w:val="21"/>
    </w:rPr>
  </w:style>
  <w:style w:type="character" w:customStyle="1" w:styleId="PlainTextChar">
    <w:name w:val="Plain Text Char"/>
    <w:link w:val="PlainText"/>
    <w:uiPriority w:val="99"/>
    <w:rsid w:val="00273513"/>
    <w:rPr>
      <w:rFonts w:ascii="Calibri" w:eastAsia="Calibri" w:hAnsi="Calibri"/>
      <w:sz w:val="22"/>
      <w:szCs w:val="21"/>
      <w:shd w:val="clear" w:color="auto" w:fill="auto"/>
      <w:lang w:eastAsia="en-US"/>
    </w:rPr>
  </w:style>
  <w:style w:type="paragraph" w:customStyle="1" w:styleId="Nroam">
    <w:name w:val="Nroam"/>
    <w:basedOn w:val="Normal"/>
    <w:rsid w:val="00273513"/>
    <w:pPr>
      <w:spacing w:before="0" w:after="0" w:line="300" w:lineRule="atLeast"/>
      <w:ind w:left="567"/>
      <w:jc w:val="left"/>
    </w:pPr>
    <w:rPr>
      <w:rFonts w:ascii="Trebuchet MS" w:eastAsia="Calibri" w:hAnsi="Trebuchet MS"/>
      <w:sz w:val="18"/>
      <w:szCs w:val="22"/>
    </w:rPr>
  </w:style>
  <w:style w:type="paragraph" w:customStyle="1" w:styleId="Normal1">
    <w:name w:val="Normal1"/>
    <w:basedOn w:val="Normal"/>
    <w:rsid w:val="00273513"/>
    <w:pPr>
      <w:spacing w:before="100" w:beforeAutospacing="1" w:after="100" w:afterAutospacing="1"/>
      <w:jc w:val="left"/>
    </w:pPr>
    <w:rPr>
      <w:lang w:eastAsia="en-GB"/>
    </w:rPr>
  </w:style>
  <w:style w:type="paragraph" w:styleId="BalloonText">
    <w:name w:val="Balloon Text"/>
    <w:basedOn w:val="Normal"/>
    <w:link w:val="BalloonTextChar"/>
    <w:rsid w:val="00803A15"/>
    <w:pPr>
      <w:spacing w:before="0" w:after="0"/>
    </w:pPr>
    <w:rPr>
      <w:rFonts w:ascii="Arial" w:hAnsi="Arial" w:cs="Arial"/>
      <w:sz w:val="16"/>
      <w:szCs w:val="16"/>
    </w:rPr>
  </w:style>
  <w:style w:type="character" w:customStyle="1" w:styleId="BalloonTextChar">
    <w:name w:val="Balloon Text Char"/>
    <w:link w:val="BalloonText"/>
    <w:rsid w:val="00803A15"/>
    <w:rPr>
      <w:rFonts w:ascii="Arial" w:hAnsi="Arial" w:cs="Arial"/>
      <w:sz w:val="16"/>
      <w:szCs w:val="16"/>
      <w:shd w:val="clear" w:color="auto" w:fill="auto"/>
      <w:lang w:eastAsia="en-US"/>
    </w:rPr>
  </w:style>
  <w:style w:type="character" w:styleId="FollowedHyperlink">
    <w:name w:val="FollowedHyperlink"/>
    <w:rsid w:val="0037256C"/>
    <w:rPr>
      <w:color w:val="800080"/>
      <w:u w:val="single"/>
      <w:shd w:val="clear" w:color="auto" w:fill="auto"/>
    </w:rPr>
  </w:style>
  <w:style w:type="character" w:styleId="CommentReference">
    <w:name w:val="annotation reference"/>
    <w:uiPriority w:val="99"/>
    <w:rsid w:val="00785C9F"/>
    <w:rPr>
      <w:sz w:val="16"/>
      <w:szCs w:val="16"/>
      <w:shd w:val="clear" w:color="auto" w:fill="auto"/>
    </w:rPr>
  </w:style>
  <w:style w:type="paragraph" w:styleId="CommentText">
    <w:name w:val="annotation text"/>
    <w:basedOn w:val="Normal"/>
    <w:link w:val="CommentTextChar"/>
    <w:uiPriority w:val="99"/>
    <w:rsid w:val="00785C9F"/>
    <w:rPr>
      <w:sz w:val="20"/>
      <w:szCs w:val="20"/>
    </w:rPr>
  </w:style>
  <w:style w:type="character" w:customStyle="1" w:styleId="CommentTextChar">
    <w:name w:val="Comment Text Char"/>
    <w:link w:val="CommentText"/>
    <w:uiPriority w:val="99"/>
    <w:rsid w:val="00785C9F"/>
    <w:rPr>
      <w:shd w:val="clear" w:color="auto" w:fill="auto"/>
      <w:lang w:eastAsia="en-US"/>
    </w:rPr>
  </w:style>
  <w:style w:type="paragraph" w:styleId="CommentSubject">
    <w:name w:val="annotation subject"/>
    <w:basedOn w:val="CommentText"/>
    <w:next w:val="CommentText"/>
    <w:link w:val="CommentSubjectChar"/>
    <w:rsid w:val="00785C9F"/>
    <w:rPr>
      <w:b/>
      <w:bCs/>
    </w:rPr>
  </w:style>
  <w:style w:type="character" w:customStyle="1" w:styleId="CommentSubjectChar">
    <w:name w:val="Comment Subject Char"/>
    <w:link w:val="CommentSubject"/>
    <w:rsid w:val="00785C9F"/>
    <w:rPr>
      <w:b/>
      <w:bCs/>
      <w:shd w:val="clear" w:color="auto" w:fill="auto"/>
      <w:lang w:eastAsia="en-US"/>
    </w:rPr>
  </w:style>
  <w:style w:type="table" w:styleId="TableGrid">
    <w:name w:val="Table Grid"/>
    <w:aliases w:val="Deloitte"/>
    <w:basedOn w:val="TableNormal"/>
    <w:rsid w:val="00FA4D22"/>
    <w:rPr>
      <w:rFonts w:ascii="Calibri" w:eastAsia="Calibri"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estion">
    <w:name w:val="Question"/>
    <w:basedOn w:val="ListParagraph"/>
    <w:qFormat/>
    <w:rsid w:val="00FA4D22"/>
    <w:pPr>
      <w:numPr>
        <w:numId w:val="16"/>
      </w:numPr>
      <w:tabs>
        <w:tab w:val="num" w:pos="850"/>
      </w:tabs>
      <w:spacing w:before="240" w:after="0"/>
      <w:ind w:left="850" w:hanging="850"/>
      <w:contextualSpacing/>
    </w:pPr>
    <w:rPr>
      <w:rFonts w:ascii="Calibri" w:hAnsi="Calibri"/>
      <w:b/>
      <w:bCs/>
      <w:color w:val="C0504D"/>
      <w:sz w:val="20"/>
      <w:szCs w:val="20"/>
      <w:lang w:eastAsia="de-DE"/>
    </w:rPr>
  </w:style>
  <w:style w:type="character" w:styleId="PlaceholderText">
    <w:name w:val="Placeholder Text"/>
    <w:basedOn w:val="DefaultParagraphFont"/>
    <w:uiPriority w:val="99"/>
    <w:semiHidden/>
    <w:rsid w:val="002D02FC"/>
    <w:rPr>
      <w:color w:val="808080"/>
      <w:shd w:val="clear" w:color="auto" w:fill="auto"/>
    </w:rPr>
  </w:style>
  <w:style w:type="paragraph" w:styleId="Revision">
    <w:name w:val="Revision"/>
    <w:hidden/>
    <w:uiPriority w:val="99"/>
    <w:semiHidden/>
    <w:rsid w:val="001A7867"/>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08151">
      <w:bodyDiv w:val="1"/>
      <w:marLeft w:val="0"/>
      <w:marRight w:val="0"/>
      <w:marTop w:val="0"/>
      <w:marBottom w:val="0"/>
      <w:divBdr>
        <w:top w:val="none" w:sz="0" w:space="0" w:color="auto"/>
        <w:left w:val="none" w:sz="0" w:space="0" w:color="auto"/>
        <w:bottom w:val="none" w:sz="0" w:space="0" w:color="auto"/>
        <w:right w:val="none" w:sz="0" w:space="0" w:color="auto"/>
      </w:divBdr>
    </w:div>
    <w:div w:id="383260593">
      <w:bodyDiv w:val="1"/>
      <w:marLeft w:val="0"/>
      <w:marRight w:val="0"/>
      <w:marTop w:val="0"/>
      <w:marBottom w:val="0"/>
      <w:divBdr>
        <w:top w:val="none" w:sz="0" w:space="0" w:color="auto"/>
        <w:left w:val="none" w:sz="0" w:space="0" w:color="auto"/>
        <w:bottom w:val="none" w:sz="0" w:space="0" w:color="auto"/>
        <w:right w:val="none" w:sz="0" w:space="0" w:color="auto"/>
      </w:divBdr>
    </w:div>
    <w:div w:id="804736315">
      <w:bodyDiv w:val="1"/>
      <w:marLeft w:val="0"/>
      <w:marRight w:val="0"/>
      <w:marTop w:val="0"/>
      <w:marBottom w:val="0"/>
      <w:divBdr>
        <w:top w:val="none" w:sz="0" w:space="0" w:color="auto"/>
        <w:left w:val="none" w:sz="0" w:space="0" w:color="auto"/>
        <w:bottom w:val="none" w:sz="0" w:space="0" w:color="auto"/>
        <w:right w:val="none" w:sz="0" w:space="0" w:color="auto"/>
      </w:divBdr>
    </w:div>
    <w:div w:id="1033110774">
      <w:bodyDiv w:val="1"/>
      <w:marLeft w:val="0"/>
      <w:marRight w:val="0"/>
      <w:marTop w:val="0"/>
      <w:marBottom w:val="0"/>
      <w:divBdr>
        <w:top w:val="none" w:sz="0" w:space="0" w:color="auto"/>
        <w:left w:val="none" w:sz="0" w:space="0" w:color="auto"/>
        <w:bottom w:val="none" w:sz="0" w:space="0" w:color="auto"/>
        <w:right w:val="none" w:sz="0" w:space="0" w:color="auto"/>
      </w:divBdr>
    </w:div>
    <w:div w:id="1242375061">
      <w:bodyDiv w:val="1"/>
      <w:marLeft w:val="0"/>
      <w:marRight w:val="0"/>
      <w:marTop w:val="0"/>
      <w:marBottom w:val="0"/>
      <w:divBdr>
        <w:top w:val="none" w:sz="0" w:space="0" w:color="auto"/>
        <w:left w:val="none" w:sz="0" w:space="0" w:color="auto"/>
        <w:bottom w:val="none" w:sz="0" w:space="0" w:color="auto"/>
        <w:right w:val="none" w:sz="0" w:space="0" w:color="auto"/>
      </w:divBdr>
    </w:div>
    <w:div w:id="150428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ur-lex.europa.eu/legal-content/EN/TXT/?uri=uriserv:OJ.L_.2014.147.01.0001.01.ENG"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ec.europa.eu/energy/efficiency/labelling/labelling_en.htm" TargetMode="External"/><Relationship Id="rId10" Type="http://schemas.openxmlformats.org/officeDocument/2006/relationships/header" Target="header1.xml"/><Relationship Id="rId19"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19897-70E8-46A7-9AAB-11F79E9C9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6371</Words>
  <Characters>35044</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41333</CharactersWithSpaces>
  <SharedDoc>false</SharedDoc>
  <HLinks>
    <vt:vector size="90" baseType="variant">
      <vt:variant>
        <vt:i4>6553674</vt:i4>
      </vt:variant>
      <vt:variant>
        <vt:i4>87</vt:i4>
      </vt:variant>
      <vt:variant>
        <vt:i4>0</vt:i4>
      </vt:variant>
      <vt:variant>
        <vt:i4>5</vt:i4>
      </vt:variant>
      <vt:variant>
        <vt:lpwstr>http://eur-lex.europa.eu/legal-content/EN/TXT/?uri=uriserv:OJ.L_.2014.147.01.0001.01.ENG</vt:lpwstr>
      </vt:variant>
      <vt:variant>
        <vt:lpwstr/>
      </vt:variant>
      <vt:variant>
        <vt:i4>1441850</vt:i4>
      </vt:variant>
      <vt:variant>
        <vt:i4>80</vt:i4>
      </vt:variant>
      <vt:variant>
        <vt:i4>0</vt:i4>
      </vt:variant>
      <vt:variant>
        <vt:i4>5</vt:i4>
      </vt:variant>
      <vt:variant>
        <vt:lpwstr/>
      </vt:variant>
      <vt:variant>
        <vt:lpwstr>_Toc389658572</vt:lpwstr>
      </vt:variant>
      <vt:variant>
        <vt:i4>1441850</vt:i4>
      </vt:variant>
      <vt:variant>
        <vt:i4>74</vt:i4>
      </vt:variant>
      <vt:variant>
        <vt:i4>0</vt:i4>
      </vt:variant>
      <vt:variant>
        <vt:i4>5</vt:i4>
      </vt:variant>
      <vt:variant>
        <vt:lpwstr/>
      </vt:variant>
      <vt:variant>
        <vt:lpwstr>_Toc389658571</vt:lpwstr>
      </vt:variant>
      <vt:variant>
        <vt:i4>1441850</vt:i4>
      </vt:variant>
      <vt:variant>
        <vt:i4>68</vt:i4>
      </vt:variant>
      <vt:variant>
        <vt:i4>0</vt:i4>
      </vt:variant>
      <vt:variant>
        <vt:i4>5</vt:i4>
      </vt:variant>
      <vt:variant>
        <vt:lpwstr/>
      </vt:variant>
      <vt:variant>
        <vt:lpwstr>_Toc389658570</vt:lpwstr>
      </vt:variant>
      <vt:variant>
        <vt:i4>1507386</vt:i4>
      </vt:variant>
      <vt:variant>
        <vt:i4>62</vt:i4>
      </vt:variant>
      <vt:variant>
        <vt:i4>0</vt:i4>
      </vt:variant>
      <vt:variant>
        <vt:i4>5</vt:i4>
      </vt:variant>
      <vt:variant>
        <vt:lpwstr/>
      </vt:variant>
      <vt:variant>
        <vt:lpwstr>_Toc389658569</vt:lpwstr>
      </vt:variant>
      <vt:variant>
        <vt:i4>1507386</vt:i4>
      </vt:variant>
      <vt:variant>
        <vt:i4>56</vt:i4>
      </vt:variant>
      <vt:variant>
        <vt:i4>0</vt:i4>
      </vt:variant>
      <vt:variant>
        <vt:i4>5</vt:i4>
      </vt:variant>
      <vt:variant>
        <vt:lpwstr/>
      </vt:variant>
      <vt:variant>
        <vt:lpwstr>_Toc389658568</vt:lpwstr>
      </vt:variant>
      <vt:variant>
        <vt:i4>1507386</vt:i4>
      </vt:variant>
      <vt:variant>
        <vt:i4>50</vt:i4>
      </vt:variant>
      <vt:variant>
        <vt:i4>0</vt:i4>
      </vt:variant>
      <vt:variant>
        <vt:i4>5</vt:i4>
      </vt:variant>
      <vt:variant>
        <vt:lpwstr/>
      </vt:variant>
      <vt:variant>
        <vt:lpwstr>_Toc389658567</vt:lpwstr>
      </vt:variant>
      <vt:variant>
        <vt:i4>1507386</vt:i4>
      </vt:variant>
      <vt:variant>
        <vt:i4>44</vt:i4>
      </vt:variant>
      <vt:variant>
        <vt:i4>0</vt:i4>
      </vt:variant>
      <vt:variant>
        <vt:i4>5</vt:i4>
      </vt:variant>
      <vt:variant>
        <vt:lpwstr/>
      </vt:variant>
      <vt:variant>
        <vt:lpwstr>_Toc389658566</vt:lpwstr>
      </vt:variant>
      <vt:variant>
        <vt:i4>1507386</vt:i4>
      </vt:variant>
      <vt:variant>
        <vt:i4>38</vt:i4>
      </vt:variant>
      <vt:variant>
        <vt:i4>0</vt:i4>
      </vt:variant>
      <vt:variant>
        <vt:i4>5</vt:i4>
      </vt:variant>
      <vt:variant>
        <vt:lpwstr/>
      </vt:variant>
      <vt:variant>
        <vt:lpwstr>_Toc389658565</vt:lpwstr>
      </vt:variant>
      <vt:variant>
        <vt:i4>1507386</vt:i4>
      </vt:variant>
      <vt:variant>
        <vt:i4>32</vt:i4>
      </vt:variant>
      <vt:variant>
        <vt:i4>0</vt:i4>
      </vt:variant>
      <vt:variant>
        <vt:i4>5</vt:i4>
      </vt:variant>
      <vt:variant>
        <vt:lpwstr/>
      </vt:variant>
      <vt:variant>
        <vt:lpwstr>_Toc389658564</vt:lpwstr>
      </vt:variant>
      <vt:variant>
        <vt:i4>1507386</vt:i4>
      </vt:variant>
      <vt:variant>
        <vt:i4>26</vt:i4>
      </vt:variant>
      <vt:variant>
        <vt:i4>0</vt:i4>
      </vt:variant>
      <vt:variant>
        <vt:i4>5</vt:i4>
      </vt:variant>
      <vt:variant>
        <vt:lpwstr/>
      </vt:variant>
      <vt:variant>
        <vt:lpwstr>_Toc389658563</vt:lpwstr>
      </vt:variant>
      <vt:variant>
        <vt:i4>1507386</vt:i4>
      </vt:variant>
      <vt:variant>
        <vt:i4>20</vt:i4>
      </vt:variant>
      <vt:variant>
        <vt:i4>0</vt:i4>
      </vt:variant>
      <vt:variant>
        <vt:i4>5</vt:i4>
      </vt:variant>
      <vt:variant>
        <vt:lpwstr/>
      </vt:variant>
      <vt:variant>
        <vt:lpwstr>_Toc389658562</vt:lpwstr>
      </vt:variant>
      <vt:variant>
        <vt:i4>1507386</vt:i4>
      </vt:variant>
      <vt:variant>
        <vt:i4>14</vt:i4>
      </vt:variant>
      <vt:variant>
        <vt:i4>0</vt:i4>
      </vt:variant>
      <vt:variant>
        <vt:i4>5</vt:i4>
      </vt:variant>
      <vt:variant>
        <vt:lpwstr/>
      </vt:variant>
      <vt:variant>
        <vt:lpwstr>_Toc389658561</vt:lpwstr>
      </vt:variant>
      <vt:variant>
        <vt:i4>1507386</vt:i4>
      </vt:variant>
      <vt:variant>
        <vt:i4>8</vt:i4>
      </vt:variant>
      <vt:variant>
        <vt:i4>0</vt:i4>
      </vt:variant>
      <vt:variant>
        <vt:i4>5</vt:i4>
      </vt:variant>
      <vt:variant>
        <vt:lpwstr/>
      </vt:variant>
      <vt:variant>
        <vt:lpwstr>_Toc389658560</vt:lpwstr>
      </vt:variant>
      <vt:variant>
        <vt:i4>1310778</vt:i4>
      </vt:variant>
      <vt:variant>
        <vt:i4>2</vt:i4>
      </vt:variant>
      <vt:variant>
        <vt:i4>0</vt:i4>
      </vt:variant>
      <vt:variant>
        <vt:i4>5</vt:i4>
      </vt:variant>
      <vt:variant>
        <vt:lpwstr/>
      </vt:variant>
      <vt:variant>
        <vt:lpwstr>_Toc389658559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GONZALEZ ALVAREZ Marcos (ENER)</cp:lastModifiedBy>
  <cp:revision>3</cp:revision>
  <cp:lastPrinted>2014-05-26T12:46:00Z</cp:lastPrinted>
  <dcterms:created xsi:type="dcterms:W3CDTF">2014-10-30T14:22:00Z</dcterms:created>
  <dcterms:modified xsi:type="dcterms:W3CDTF">2014-10-30T14:28:00Z</dcterms:modified>
</cp:coreProperties>
</file>