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D6" w:rsidRPr="008E5C53" w:rsidRDefault="00487CCB" w:rsidP="00487CC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2315210</wp:posOffset>
            </wp:positionH>
            <wp:positionV relativeFrom="paragraph">
              <wp:posOffset>-719455</wp:posOffset>
            </wp:positionV>
            <wp:extent cx="1424940" cy="1424940"/>
            <wp:effectExtent l="0" t="0" r="0" b="0"/>
            <wp:wrapTight wrapText="bothSides">
              <wp:wrapPolygon edited="0">
                <wp:start x="10973" y="1444"/>
                <wp:lineTo x="3754" y="1733"/>
                <wp:lineTo x="1733" y="2599"/>
                <wp:lineTo x="2021" y="16460"/>
                <wp:lineTo x="3465" y="19925"/>
                <wp:lineTo x="4043" y="19925"/>
                <wp:lineTo x="7219" y="19925"/>
                <wp:lineTo x="11840" y="19925"/>
                <wp:lineTo x="19925" y="17037"/>
                <wp:lineTo x="20214" y="4332"/>
                <wp:lineTo x="19348" y="1444"/>
                <wp:lineTo x="18481" y="1444"/>
                <wp:lineTo x="10973" y="1444"/>
              </wp:wrapPolygon>
            </wp:wrapTight>
            <wp:docPr id="1" name="Picture 0" descr="ADCAS2-Logo-Sm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CAS2-Logo-Sml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1AD6" w:rsidRDefault="00121AD6" w:rsidP="00121AD6">
      <w:pPr>
        <w:pStyle w:val="Header"/>
        <w:ind w:left="-567"/>
        <w:jc w:val="both"/>
        <w:rPr>
          <w:b/>
          <w:color w:val="260859"/>
          <w:sz w:val="28"/>
          <w:szCs w:val="28"/>
        </w:rPr>
      </w:pPr>
    </w:p>
    <w:p w:rsidR="00487CCB" w:rsidRDefault="00487CCB" w:rsidP="00121AD6">
      <w:pPr>
        <w:pStyle w:val="Header"/>
        <w:ind w:left="-567"/>
        <w:jc w:val="both"/>
        <w:rPr>
          <w:b/>
          <w:noProof/>
          <w:color w:val="260859"/>
          <w:sz w:val="28"/>
          <w:szCs w:val="28"/>
        </w:rPr>
      </w:pPr>
    </w:p>
    <w:p w:rsidR="0013543D" w:rsidRDefault="00487CCB" w:rsidP="0013543D">
      <w:pPr>
        <w:pStyle w:val="Header"/>
        <w:ind w:left="-567"/>
        <w:jc w:val="both"/>
        <w:rPr>
          <w:b/>
          <w:noProof/>
          <w:color w:val="260859"/>
          <w:sz w:val="28"/>
          <w:szCs w:val="28"/>
        </w:rPr>
      </w:pPr>
      <w:r>
        <w:rPr>
          <w:b/>
          <w:noProof/>
          <w:color w:val="260859"/>
          <w:sz w:val="28"/>
          <w:szCs w:val="28"/>
        </w:rPr>
        <w:t>ADCAS</w:t>
      </w:r>
      <w:r w:rsidR="00AD2704">
        <w:rPr>
          <w:b/>
          <w:noProof/>
          <w:color w:val="260859"/>
          <w:sz w:val="28"/>
          <w:szCs w:val="28"/>
        </w:rPr>
        <w:t xml:space="preserve"> Guidance - Fire Rated Ductwork</w:t>
      </w:r>
      <w:r>
        <w:rPr>
          <w:b/>
          <w:noProof/>
          <w:color w:val="260859"/>
          <w:sz w:val="28"/>
          <w:szCs w:val="28"/>
        </w:rPr>
        <w:t xml:space="preserve"> (FRD)</w:t>
      </w:r>
    </w:p>
    <w:p w:rsidR="00CD06CF" w:rsidRPr="0013543D" w:rsidRDefault="00121AD6" w:rsidP="0013543D">
      <w:pPr>
        <w:pStyle w:val="Header"/>
        <w:ind w:left="-567"/>
        <w:jc w:val="both"/>
        <w:rPr>
          <w:rFonts w:ascii="Verdana" w:hAnsi="Verdana"/>
          <w:color w:val="260859"/>
        </w:rPr>
      </w:pPr>
      <w:r>
        <w:rPr>
          <w:rFonts w:ascii="Verdana" w:hAnsi="Verdana"/>
          <w:b/>
          <w:noProof/>
          <w:lang w:eastAsia="en-GB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page">
              <wp:posOffset>567690</wp:posOffset>
            </wp:positionH>
            <wp:positionV relativeFrom="page">
              <wp:posOffset>2194560</wp:posOffset>
            </wp:positionV>
            <wp:extent cx="6484620" cy="174625"/>
            <wp:effectExtent l="19050" t="0" r="0" b="0"/>
            <wp:wrapNone/>
            <wp:docPr id="4" name="Picture 31" descr="Minutes Keyline 18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inutes Keyline 180m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CCB" w:rsidRDefault="00487CCB" w:rsidP="00487CCB">
      <w:pPr>
        <w:autoSpaceDE w:val="0"/>
        <w:autoSpaceDN w:val="0"/>
        <w:adjustRightInd w:val="0"/>
        <w:spacing w:after="0" w:line="240" w:lineRule="auto"/>
        <w:ind w:left="-567"/>
        <w:rPr>
          <w:rFonts w:ascii="Verdana" w:hAnsi="Verdana" w:cs="GillSans-Light"/>
        </w:rPr>
      </w:pPr>
      <w:proofErr w:type="gramStart"/>
      <w:r>
        <w:rPr>
          <w:rFonts w:ascii="Verdana" w:hAnsi="Verdana" w:cs="GillSans-Light"/>
        </w:rPr>
        <w:t>References :</w:t>
      </w:r>
      <w:proofErr w:type="gramEnd"/>
    </w:p>
    <w:p w:rsidR="00487CCB" w:rsidRDefault="00487CCB" w:rsidP="00487CCB">
      <w:pPr>
        <w:autoSpaceDE w:val="0"/>
        <w:autoSpaceDN w:val="0"/>
        <w:adjustRightInd w:val="0"/>
        <w:spacing w:after="0" w:line="240" w:lineRule="auto"/>
        <w:ind w:left="-567"/>
        <w:rPr>
          <w:rFonts w:ascii="Verdana" w:hAnsi="Verdana" w:cs="GillSans-Light"/>
        </w:rPr>
      </w:pPr>
    </w:p>
    <w:p w:rsidR="00487CCB" w:rsidRPr="00487CCB" w:rsidRDefault="00487CCB" w:rsidP="00487CC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-Light"/>
        </w:rPr>
      </w:pPr>
      <w:r w:rsidRPr="00487CCB">
        <w:rPr>
          <w:rFonts w:ascii="Verdana" w:hAnsi="Verdana" w:cs="GillSans-Light"/>
        </w:rPr>
        <w:t>DW144 (2013)</w:t>
      </w:r>
    </w:p>
    <w:p w:rsidR="008C6035" w:rsidRPr="00487CCB" w:rsidRDefault="008C6035" w:rsidP="00487CC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-Light"/>
        </w:rPr>
      </w:pPr>
      <w:r w:rsidRPr="00487CCB">
        <w:rPr>
          <w:rFonts w:ascii="Verdana" w:hAnsi="Verdana" w:cs="GillSans-Light"/>
        </w:rPr>
        <w:t>B&amp;ES Guidance Note</w:t>
      </w:r>
    </w:p>
    <w:p w:rsidR="008C6035" w:rsidRPr="001A021B" w:rsidRDefault="008C6035" w:rsidP="00073196">
      <w:pPr>
        <w:autoSpaceDE w:val="0"/>
        <w:autoSpaceDN w:val="0"/>
        <w:adjustRightInd w:val="0"/>
        <w:spacing w:after="0" w:line="240" w:lineRule="auto"/>
        <w:ind w:left="-567"/>
        <w:rPr>
          <w:rFonts w:ascii="Verdana" w:hAnsi="Verdana" w:cs="GillSans-Light"/>
        </w:rPr>
      </w:pPr>
    </w:p>
    <w:p w:rsidR="00CD06CF" w:rsidRPr="00487CCB" w:rsidRDefault="00487CCB" w:rsidP="00487CC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-Light"/>
        </w:rPr>
      </w:pPr>
      <w:r>
        <w:rPr>
          <w:rFonts w:ascii="Verdana" w:hAnsi="Verdana" w:cs="GillSans-Light"/>
        </w:rPr>
        <w:t>T</w:t>
      </w:r>
      <w:r w:rsidR="00CD06CF" w:rsidRPr="00487CCB">
        <w:rPr>
          <w:rFonts w:ascii="Verdana" w:hAnsi="Verdana" w:cs="GillSans-Light"/>
          <w:u w:val="single"/>
        </w:rPr>
        <w:t>he Construction Products Regulations (CPR)</w:t>
      </w:r>
    </w:p>
    <w:p w:rsidR="00CD06CF" w:rsidRPr="001A021B" w:rsidRDefault="00CD06CF" w:rsidP="00073196">
      <w:pPr>
        <w:autoSpaceDE w:val="0"/>
        <w:autoSpaceDN w:val="0"/>
        <w:adjustRightInd w:val="0"/>
        <w:spacing w:after="0" w:line="240" w:lineRule="auto"/>
        <w:ind w:left="-567"/>
        <w:rPr>
          <w:rFonts w:ascii="Verdana" w:hAnsi="Verdana" w:cs="GillSans-Light"/>
        </w:rPr>
      </w:pPr>
    </w:p>
    <w:p w:rsidR="00CD06CF" w:rsidRPr="001A021B" w:rsidRDefault="00CD06CF" w:rsidP="00073196">
      <w:pPr>
        <w:autoSpaceDE w:val="0"/>
        <w:autoSpaceDN w:val="0"/>
        <w:adjustRightInd w:val="0"/>
        <w:spacing w:after="0" w:line="240" w:lineRule="auto"/>
        <w:ind w:left="-567"/>
        <w:rPr>
          <w:rFonts w:ascii="Verdana" w:hAnsi="Verdana" w:cs="GillSans-Light"/>
        </w:rPr>
      </w:pPr>
      <w:r w:rsidRPr="001A021B">
        <w:rPr>
          <w:rFonts w:ascii="Verdana" w:hAnsi="Verdana" w:cs="GillSans-Light"/>
        </w:rPr>
        <w:t>Under the requirements of the Construction Products Regulation 201</w:t>
      </w:r>
      <w:r w:rsidRPr="001A021B">
        <w:rPr>
          <w:rFonts w:ascii="Verdana" w:hAnsi="Verdana" w:cs="GillSans"/>
        </w:rPr>
        <w:t xml:space="preserve">1 </w:t>
      </w:r>
      <w:r w:rsidR="00DF7D93" w:rsidRPr="001A021B">
        <w:rPr>
          <w:rFonts w:ascii="Verdana" w:hAnsi="Verdana" w:cs="GillSans-Light"/>
        </w:rPr>
        <w:t>it has</w:t>
      </w:r>
      <w:r w:rsidRPr="001A021B">
        <w:rPr>
          <w:rFonts w:ascii="Verdana" w:hAnsi="Verdana" w:cs="GillSans-Light"/>
        </w:rPr>
        <w:t xml:space="preserve"> become mandatory for manufacturers supplying products into the construction industry to draw up a declaration of performance and apply CE marking to any of their construction products which are covered by a harmonised Eur</w:t>
      </w:r>
      <w:r w:rsidR="00EB3CBC" w:rsidRPr="001A021B">
        <w:rPr>
          <w:rFonts w:ascii="Verdana" w:hAnsi="Verdana" w:cs="GillSans-Light"/>
        </w:rPr>
        <w:t>opean standard (</w:t>
      </w:r>
      <w:proofErr w:type="spellStart"/>
      <w:r w:rsidR="00EB3CBC" w:rsidRPr="001A021B">
        <w:rPr>
          <w:rFonts w:ascii="Verdana" w:hAnsi="Verdana" w:cs="GillSans-Light"/>
        </w:rPr>
        <w:t>hEN</w:t>
      </w:r>
      <w:proofErr w:type="spellEnd"/>
      <w:r w:rsidR="00EB3CBC" w:rsidRPr="001A021B">
        <w:rPr>
          <w:rFonts w:ascii="Verdana" w:hAnsi="Verdana" w:cs="GillSans-Light"/>
        </w:rPr>
        <w:t>) or conform</w:t>
      </w:r>
      <w:r w:rsidR="00102C2A" w:rsidRPr="001A021B">
        <w:rPr>
          <w:rFonts w:ascii="Verdana" w:hAnsi="Verdana" w:cs="GillSans-Light"/>
        </w:rPr>
        <w:t xml:space="preserve"> </w:t>
      </w:r>
      <w:r w:rsidRPr="001A021B">
        <w:rPr>
          <w:rFonts w:ascii="Verdana" w:hAnsi="Verdana" w:cs="GillSans-Light"/>
        </w:rPr>
        <w:t>to a European Technical Assessment (ETA)</w:t>
      </w:r>
      <w:r w:rsidR="00487CCB">
        <w:rPr>
          <w:rFonts w:ascii="Verdana" w:hAnsi="Verdana" w:cs="GillSans-Light"/>
        </w:rPr>
        <w:t>, since 1 Jul 13</w:t>
      </w:r>
      <w:r w:rsidRPr="001A021B">
        <w:rPr>
          <w:rFonts w:ascii="Verdana" w:hAnsi="Verdana" w:cs="GillSans-Light"/>
        </w:rPr>
        <w:t>.</w:t>
      </w:r>
    </w:p>
    <w:p w:rsidR="00CD06CF" w:rsidRPr="001A021B" w:rsidRDefault="00CD06CF" w:rsidP="00073196">
      <w:pPr>
        <w:autoSpaceDE w:val="0"/>
        <w:autoSpaceDN w:val="0"/>
        <w:adjustRightInd w:val="0"/>
        <w:spacing w:after="0" w:line="240" w:lineRule="auto"/>
        <w:ind w:left="-567"/>
        <w:rPr>
          <w:rFonts w:ascii="Verdana" w:hAnsi="Verdana" w:cs="GillSans-Light"/>
        </w:rPr>
      </w:pPr>
    </w:p>
    <w:p w:rsidR="00AD4F54" w:rsidRPr="001A021B" w:rsidRDefault="00CD06CF" w:rsidP="00073196">
      <w:pPr>
        <w:autoSpaceDE w:val="0"/>
        <w:autoSpaceDN w:val="0"/>
        <w:adjustRightInd w:val="0"/>
        <w:spacing w:after="0" w:line="240" w:lineRule="auto"/>
        <w:ind w:left="-567"/>
        <w:rPr>
          <w:rFonts w:ascii="Verdana" w:hAnsi="Verdana" w:cs="GillSans-Light"/>
        </w:rPr>
      </w:pPr>
      <w:r w:rsidRPr="001A021B">
        <w:rPr>
          <w:rFonts w:ascii="Verdana" w:hAnsi="Verdana" w:cs="GillSans-Light"/>
        </w:rPr>
        <w:t>By definition a construction product is any product</w:t>
      </w:r>
      <w:r w:rsidR="00487CCB">
        <w:rPr>
          <w:rFonts w:ascii="Verdana" w:hAnsi="Verdana" w:cs="GillSans-Light"/>
        </w:rPr>
        <w:t xml:space="preserve">, </w:t>
      </w:r>
      <w:r w:rsidRPr="001A021B">
        <w:rPr>
          <w:rFonts w:ascii="Verdana" w:hAnsi="Verdana" w:cs="GillSans-Light"/>
        </w:rPr>
        <w:t>which is produced and placed on the market for incorporation in a permanent manner in construction works and the performance</w:t>
      </w:r>
      <w:r w:rsidR="00487CCB">
        <w:rPr>
          <w:rFonts w:ascii="Verdana" w:hAnsi="Verdana" w:cs="GillSans-Light"/>
        </w:rPr>
        <w:t xml:space="preserve"> </w:t>
      </w:r>
      <w:r w:rsidRPr="001A021B">
        <w:rPr>
          <w:rFonts w:ascii="Verdana" w:hAnsi="Verdana" w:cs="GillSans-Light"/>
        </w:rPr>
        <w:t>of which has an effect on the performance of th</w:t>
      </w:r>
      <w:r w:rsidR="00487CCB">
        <w:rPr>
          <w:rFonts w:ascii="Verdana" w:hAnsi="Verdana" w:cs="GillSans-Light"/>
        </w:rPr>
        <w:t>os</w:t>
      </w:r>
      <w:r w:rsidRPr="001A021B">
        <w:rPr>
          <w:rFonts w:ascii="Verdana" w:hAnsi="Verdana" w:cs="GillSans-Light"/>
        </w:rPr>
        <w:t>e works</w:t>
      </w:r>
      <w:r w:rsidR="00487CCB">
        <w:rPr>
          <w:rFonts w:ascii="Verdana" w:hAnsi="Verdana" w:cs="GillSans-Light"/>
        </w:rPr>
        <w:t xml:space="preserve">.  </w:t>
      </w:r>
      <w:r w:rsidRPr="001A021B">
        <w:rPr>
          <w:rFonts w:ascii="Verdana" w:hAnsi="Verdana" w:cs="GillSans-Light"/>
        </w:rPr>
        <w:t>This is a major change</w:t>
      </w:r>
      <w:r w:rsidR="00487CCB">
        <w:rPr>
          <w:rFonts w:ascii="Verdana" w:hAnsi="Verdana" w:cs="GillSans-Light"/>
        </w:rPr>
        <w:t xml:space="preserve">, </w:t>
      </w:r>
      <w:r w:rsidRPr="001A021B">
        <w:rPr>
          <w:rFonts w:ascii="Verdana" w:hAnsi="Verdana" w:cs="GillSans-Light"/>
        </w:rPr>
        <w:t xml:space="preserve">as CE marking under the provisions of the </w:t>
      </w:r>
      <w:r w:rsidR="00487CCB">
        <w:rPr>
          <w:rFonts w:ascii="Verdana" w:hAnsi="Verdana" w:cs="GillSans-Light"/>
        </w:rPr>
        <w:t>previous</w:t>
      </w:r>
      <w:r w:rsidRPr="001A021B">
        <w:rPr>
          <w:rFonts w:ascii="Verdana" w:hAnsi="Verdana" w:cs="GillSans-Light"/>
        </w:rPr>
        <w:t xml:space="preserve"> Construction Products Directive (CPD) </w:t>
      </w:r>
      <w:r w:rsidR="00EB3CBC" w:rsidRPr="001A021B">
        <w:rPr>
          <w:rFonts w:ascii="Verdana" w:hAnsi="Verdana" w:cs="GillSans-Light"/>
        </w:rPr>
        <w:t xml:space="preserve">was </w:t>
      </w:r>
      <w:r w:rsidRPr="001A021B">
        <w:rPr>
          <w:rFonts w:ascii="Verdana" w:hAnsi="Verdana" w:cs="GillSans-Light"/>
        </w:rPr>
        <w:t>voluntary in the UK</w:t>
      </w:r>
      <w:r w:rsidR="00487CCB">
        <w:rPr>
          <w:rFonts w:ascii="Verdana" w:hAnsi="Verdana" w:cs="GillSans-Light"/>
        </w:rPr>
        <w:t xml:space="preserve"> until 1 Jul 13</w:t>
      </w:r>
      <w:r w:rsidRPr="001A021B">
        <w:rPr>
          <w:rFonts w:ascii="Verdana" w:hAnsi="Verdana" w:cs="GillSans-Light"/>
        </w:rPr>
        <w:t xml:space="preserve">. </w:t>
      </w:r>
    </w:p>
    <w:p w:rsidR="00966B83" w:rsidRPr="001A021B" w:rsidRDefault="00966B83" w:rsidP="00CD06CF">
      <w:pPr>
        <w:autoSpaceDE w:val="0"/>
        <w:autoSpaceDN w:val="0"/>
        <w:adjustRightInd w:val="0"/>
        <w:spacing w:after="0" w:line="240" w:lineRule="auto"/>
        <w:rPr>
          <w:rFonts w:ascii="Verdana" w:hAnsi="Verdana" w:cs="GillSans-Light"/>
        </w:rPr>
      </w:pPr>
    </w:p>
    <w:p w:rsidR="00966B83" w:rsidRPr="001A021B" w:rsidRDefault="00966B83" w:rsidP="0076043C">
      <w:pPr>
        <w:autoSpaceDE w:val="0"/>
        <w:autoSpaceDN w:val="0"/>
        <w:adjustRightInd w:val="0"/>
        <w:spacing w:after="0" w:line="240" w:lineRule="auto"/>
        <w:ind w:left="-567"/>
        <w:rPr>
          <w:rFonts w:ascii="Verdana" w:hAnsi="Verdana" w:cs="GillSans-Light"/>
        </w:rPr>
      </w:pPr>
      <w:r w:rsidRPr="001A021B">
        <w:rPr>
          <w:rFonts w:ascii="Verdana" w:hAnsi="Verdana" w:cs="GillSans-Light"/>
        </w:rPr>
        <w:t xml:space="preserve">In addition, </w:t>
      </w:r>
      <w:r w:rsidRPr="001A021B">
        <w:rPr>
          <w:rFonts w:ascii="Verdana" w:eastAsia="Calibri" w:hAnsi="Verdana" w:cs="Times New Roman"/>
        </w:rPr>
        <w:t xml:space="preserve">Approved Document 7 of the Building Regulations </w:t>
      </w:r>
      <w:r w:rsidRPr="001A021B">
        <w:rPr>
          <w:rFonts w:ascii="Verdana" w:hAnsi="Verdana"/>
        </w:rPr>
        <w:t xml:space="preserve">provides further </w:t>
      </w:r>
      <w:r w:rsidRPr="001A021B">
        <w:rPr>
          <w:rFonts w:ascii="Verdana" w:eastAsia="Calibri" w:hAnsi="Verdana" w:cs="Times New Roman"/>
        </w:rPr>
        <w:t>clarification as far as the UK is concerned, by stating that any projects started before</w:t>
      </w:r>
      <w:r w:rsidR="00487CCB">
        <w:rPr>
          <w:rFonts w:ascii="Verdana" w:eastAsia="Calibri" w:hAnsi="Verdana" w:cs="Times New Roman"/>
        </w:rPr>
        <w:t xml:space="preserve"> 1 Jul 13, </w:t>
      </w:r>
      <w:r w:rsidRPr="001A021B">
        <w:rPr>
          <w:rFonts w:ascii="Verdana" w:eastAsia="Calibri" w:hAnsi="Verdana" w:cs="Times New Roman"/>
        </w:rPr>
        <w:t xml:space="preserve">or work subject to a building notice, </w:t>
      </w:r>
      <w:r w:rsidR="00487CCB">
        <w:rPr>
          <w:rFonts w:ascii="Verdana" w:eastAsia="Calibri" w:hAnsi="Verdana" w:cs="Times New Roman"/>
        </w:rPr>
        <w:t xml:space="preserve">with </w:t>
      </w:r>
      <w:r w:rsidRPr="001A021B">
        <w:rPr>
          <w:rFonts w:ascii="Verdana" w:eastAsia="Calibri" w:hAnsi="Verdana" w:cs="Times New Roman"/>
        </w:rPr>
        <w:t>full plans application or initial notice submitted before 1</w:t>
      </w:r>
      <w:r w:rsidR="00487CCB">
        <w:rPr>
          <w:rFonts w:ascii="Verdana" w:eastAsia="Calibri" w:hAnsi="Verdana" w:cs="Times New Roman"/>
        </w:rPr>
        <w:t xml:space="preserve"> </w:t>
      </w:r>
      <w:r w:rsidRPr="001A021B">
        <w:rPr>
          <w:rFonts w:ascii="Verdana" w:eastAsia="Calibri" w:hAnsi="Verdana" w:cs="Times New Roman"/>
        </w:rPr>
        <w:t>July 13 can still be constructed either to the old BS, or</w:t>
      </w:r>
      <w:r w:rsidR="00487CCB">
        <w:rPr>
          <w:rFonts w:ascii="Verdana" w:eastAsia="Calibri" w:hAnsi="Verdana" w:cs="Times New Roman"/>
        </w:rPr>
        <w:t xml:space="preserve"> to the</w:t>
      </w:r>
      <w:r w:rsidRPr="001A021B">
        <w:rPr>
          <w:rFonts w:ascii="Verdana" w:eastAsia="Calibri" w:hAnsi="Verdana" w:cs="Times New Roman"/>
        </w:rPr>
        <w:t xml:space="preserve"> new BS EN Standards.</w:t>
      </w:r>
    </w:p>
    <w:p w:rsidR="00EB3CBC" w:rsidRDefault="00EB3CBC" w:rsidP="0076043C">
      <w:pPr>
        <w:autoSpaceDE w:val="0"/>
        <w:autoSpaceDN w:val="0"/>
        <w:adjustRightInd w:val="0"/>
        <w:spacing w:after="0" w:line="240" w:lineRule="auto"/>
        <w:ind w:left="-567"/>
        <w:rPr>
          <w:rFonts w:ascii="Verdana" w:hAnsi="Verdana" w:cs="GillSans-Light"/>
        </w:rPr>
      </w:pPr>
    </w:p>
    <w:p w:rsidR="00487CCB" w:rsidRPr="00487CCB" w:rsidRDefault="00487CCB" w:rsidP="00487CC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-Light"/>
        </w:rPr>
      </w:pPr>
      <w:r>
        <w:rPr>
          <w:rFonts w:ascii="Verdana" w:hAnsi="Verdana" w:cs="GillSans-Light"/>
          <w:u w:val="single"/>
        </w:rPr>
        <w:t>Fire Rated Ductwork (FRD)</w:t>
      </w:r>
    </w:p>
    <w:p w:rsidR="00487CCB" w:rsidRPr="00487CCB" w:rsidRDefault="00487CCB" w:rsidP="00487CCB">
      <w:pPr>
        <w:pStyle w:val="ListParagraph"/>
        <w:autoSpaceDE w:val="0"/>
        <w:autoSpaceDN w:val="0"/>
        <w:adjustRightInd w:val="0"/>
        <w:spacing w:after="0" w:line="240" w:lineRule="auto"/>
        <w:ind w:left="-207"/>
        <w:rPr>
          <w:rFonts w:ascii="Verdana" w:hAnsi="Verdana" w:cs="GillSans-Light"/>
        </w:rPr>
      </w:pPr>
    </w:p>
    <w:p w:rsidR="00EB3CBC" w:rsidRPr="001A021B" w:rsidRDefault="00EB3CBC" w:rsidP="0076043C">
      <w:pPr>
        <w:autoSpaceDE w:val="0"/>
        <w:autoSpaceDN w:val="0"/>
        <w:adjustRightInd w:val="0"/>
        <w:spacing w:after="0" w:line="240" w:lineRule="auto"/>
        <w:ind w:left="-567"/>
        <w:rPr>
          <w:rFonts w:ascii="Verdana" w:hAnsi="Verdana" w:cs="GillSans-Light"/>
        </w:rPr>
      </w:pPr>
      <w:r w:rsidRPr="001A021B">
        <w:rPr>
          <w:rFonts w:ascii="Verdana" w:hAnsi="Verdana" w:cs="GillSans-Light"/>
        </w:rPr>
        <w:t xml:space="preserve">For the purposes of this guidance note, </w:t>
      </w:r>
      <w:r w:rsidR="001017A0" w:rsidRPr="001A021B">
        <w:rPr>
          <w:rFonts w:ascii="Verdana" w:hAnsi="Verdana" w:cs="GillSans-Light"/>
        </w:rPr>
        <w:t>F</w:t>
      </w:r>
      <w:r w:rsidR="00206E2E">
        <w:rPr>
          <w:rFonts w:ascii="Verdana" w:hAnsi="Verdana" w:cs="GillSans-Light"/>
        </w:rPr>
        <w:t xml:space="preserve">RD </w:t>
      </w:r>
      <w:r w:rsidR="001017A0" w:rsidRPr="001A021B">
        <w:rPr>
          <w:rFonts w:ascii="Verdana" w:hAnsi="Verdana" w:cs="GillSans-Light"/>
        </w:rPr>
        <w:t xml:space="preserve">is </w:t>
      </w:r>
      <w:r w:rsidRPr="001A021B">
        <w:rPr>
          <w:rFonts w:ascii="Verdana" w:hAnsi="Verdana" w:cs="GillSans-Light"/>
        </w:rPr>
        <w:t>categorised as follows:</w:t>
      </w:r>
    </w:p>
    <w:p w:rsidR="00EB3CBC" w:rsidRPr="001A021B" w:rsidRDefault="00EB3CBC" w:rsidP="0076043C">
      <w:pPr>
        <w:autoSpaceDE w:val="0"/>
        <w:autoSpaceDN w:val="0"/>
        <w:adjustRightInd w:val="0"/>
        <w:spacing w:after="0" w:line="240" w:lineRule="auto"/>
        <w:ind w:left="-567"/>
        <w:rPr>
          <w:rFonts w:ascii="Verdana" w:hAnsi="Verdana" w:cs="GillSans-Light"/>
        </w:rPr>
      </w:pPr>
    </w:p>
    <w:p w:rsidR="00EB3CBC" w:rsidRPr="00206E2E" w:rsidRDefault="00EB3CBC" w:rsidP="00206E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-Light"/>
        </w:rPr>
      </w:pPr>
      <w:r w:rsidRPr="00206E2E">
        <w:rPr>
          <w:rFonts w:ascii="Verdana" w:hAnsi="Verdana" w:cs="GillSans-Light"/>
        </w:rPr>
        <w:t xml:space="preserve">Ductwork for smoke extract </w:t>
      </w:r>
    </w:p>
    <w:p w:rsidR="00EB3CBC" w:rsidRPr="00206E2E" w:rsidRDefault="00EB3CBC" w:rsidP="00206E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-Light"/>
        </w:rPr>
      </w:pPr>
      <w:r w:rsidRPr="00206E2E">
        <w:rPr>
          <w:rFonts w:ascii="Verdana" w:hAnsi="Verdana" w:cs="GillSans-Light"/>
        </w:rPr>
        <w:t xml:space="preserve">Ductwork </w:t>
      </w:r>
      <w:r w:rsidR="00116630" w:rsidRPr="00206E2E">
        <w:rPr>
          <w:rFonts w:ascii="Verdana" w:hAnsi="Verdana" w:cs="GillSans-Light"/>
        </w:rPr>
        <w:t>(</w:t>
      </w:r>
      <w:r w:rsidRPr="00206E2E">
        <w:rPr>
          <w:rFonts w:ascii="Verdana" w:hAnsi="Verdana" w:cs="GillSans-Light"/>
        </w:rPr>
        <w:t>fire rated</w:t>
      </w:r>
      <w:r w:rsidR="00116630" w:rsidRPr="00206E2E">
        <w:rPr>
          <w:rFonts w:ascii="Verdana" w:hAnsi="Verdana" w:cs="GillSans-Light"/>
        </w:rPr>
        <w:t>)</w:t>
      </w:r>
      <w:r w:rsidRPr="00206E2E">
        <w:rPr>
          <w:rFonts w:ascii="Verdana" w:hAnsi="Verdana" w:cs="GillSans-Light"/>
        </w:rPr>
        <w:t xml:space="preserve"> </w:t>
      </w:r>
    </w:p>
    <w:p w:rsidR="00116630" w:rsidRPr="001A021B" w:rsidRDefault="00116630" w:rsidP="0076043C">
      <w:pPr>
        <w:autoSpaceDE w:val="0"/>
        <w:autoSpaceDN w:val="0"/>
        <w:adjustRightInd w:val="0"/>
        <w:spacing w:after="0" w:line="240" w:lineRule="auto"/>
        <w:ind w:left="-567"/>
        <w:rPr>
          <w:rFonts w:ascii="Verdana" w:hAnsi="Verdana" w:cs="GillSans-Light"/>
        </w:rPr>
      </w:pPr>
    </w:p>
    <w:p w:rsidR="00EB3CBC" w:rsidRPr="001A021B" w:rsidRDefault="004E252D" w:rsidP="0076043C">
      <w:pPr>
        <w:autoSpaceDE w:val="0"/>
        <w:autoSpaceDN w:val="0"/>
        <w:adjustRightInd w:val="0"/>
        <w:spacing w:after="0" w:line="240" w:lineRule="auto"/>
        <w:ind w:left="-567"/>
        <w:rPr>
          <w:rFonts w:ascii="Verdana" w:hAnsi="Verdana" w:cs="GillSans-Light"/>
        </w:rPr>
      </w:pPr>
      <w:r>
        <w:rPr>
          <w:rFonts w:ascii="Verdana" w:hAnsi="Verdana" w:cs="GillSans-Light"/>
        </w:rPr>
        <w:t>C</w:t>
      </w:r>
      <w:r w:rsidR="00206E2E">
        <w:rPr>
          <w:rFonts w:ascii="Verdana" w:hAnsi="Verdana" w:cs="GillSans-Light"/>
        </w:rPr>
        <w:t>u</w:t>
      </w:r>
      <w:r>
        <w:rPr>
          <w:rFonts w:ascii="Verdana" w:hAnsi="Verdana" w:cs="GillSans-Light"/>
        </w:rPr>
        <w:t>r</w:t>
      </w:r>
      <w:r w:rsidR="00206E2E">
        <w:rPr>
          <w:rFonts w:ascii="Verdana" w:hAnsi="Verdana" w:cs="GillSans-Light"/>
        </w:rPr>
        <w:t>rently</w:t>
      </w:r>
      <w:r w:rsidR="00EB3CBC" w:rsidRPr="001A021B">
        <w:rPr>
          <w:rFonts w:ascii="Verdana" w:hAnsi="Verdana" w:cs="GillSans-Light"/>
        </w:rPr>
        <w:t>, smoke extract ductwork</w:t>
      </w:r>
      <w:r w:rsidR="000E5A68" w:rsidRPr="001A021B">
        <w:rPr>
          <w:rFonts w:ascii="Verdana" w:hAnsi="Verdana" w:cs="GillSans-Light"/>
        </w:rPr>
        <w:t xml:space="preserve"> </w:t>
      </w:r>
      <w:r w:rsidR="00C87185" w:rsidRPr="001A021B">
        <w:rPr>
          <w:rFonts w:ascii="Verdana" w:hAnsi="Verdana" w:cs="GillSans-Light"/>
        </w:rPr>
        <w:t xml:space="preserve">must </w:t>
      </w:r>
      <w:r w:rsidR="00EB3CBC" w:rsidRPr="001A021B">
        <w:rPr>
          <w:rFonts w:ascii="Verdana" w:hAnsi="Verdana" w:cs="GillSans-Light"/>
        </w:rPr>
        <w:t>be CE marked (w</w:t>
      </w:r>
      <w:r w:rsidR="00102C2A" w:rsidRPr="001A021B">
        <w:rPr>
          <w:rFonts w:ascii="Verdana" w:hAnsi="Verdana" w:cs="GillSans-Light"/>
        </w:rPr>
        <w:t>ithin the field of application)</w:t>
      </w:r>
      <w:r w:rsidR="009B0099" w:rsidRPr="001A021B">
        <w:rPr>
          <w:rFonts w:ascii="Verdana" w:hAnsi="Verdana" w:cs="GillSans-Light"/>
        </w:rPr>
        <w:t xml:space="preserve"> to</w:t>
      </w:r>
      <w:r w:rsidR="00EB3CBC" w:rsidRPr="001A021B">
        <w:rPr>
          <w:rFonts w:ascii="Verdana" w:hAnsi="Verdana" w:cs="GillSans-Light"/>
        </w:rPr>
        <w:t xml:space="preserve"> fully meet the </w:t>
      </w:r>
      <w:r w:rsidR="009B0099" w:rsidRPr="001A021B">
        <w:rPr>
          <w:rFonts w:ascii="Verdana" w:hAnsi="Verdana" w:cs="GillSans-Light"/>
        </w:rPr>
        <w:t xml:space="preserve">legal requirements of the </w:t>
      </w:r>
      <w:r w:rsidR="00EB3CBC" w:rsidRPr="001A021B">
        <w:rPr>
          <w:rFonts w:ascii="Verdana" w:hAnsi="Verdana" w:cs="GillSans-Light"/>
        </w:rPr>
        <w:t>CPR</w:t>
      </w:r>
      <w:r w:rsidR="00206E2E">
        <w:rPr>
          <w:rFonts w:ascii="Verdana" w:hAnsi="Verdana" w:cs="GillSans-Light"/>
        </w:rPr>
        <w:t>, because BS EN 12101 applies</w:t>
      </w:r>
      <w:r w:rsidR="00EB3CBC" w:rsidRPr="001A021B">
        <w:rPr>
          <w:rFonts w:ascii="Verdana" w:hAnsi="Verdana" w:cs="GillSans-Light"/>
        </w:rPr>
        <w:t>.</w:t>
      </w:r>
    </w:p>
    <w:p w:rsidR="00EB3CBC" w:rsidRPr="001A021B" w:rsidRDefault="00EB3CBC" w:rsidP="0076043C">
      <w:pPr>
        <w:autoSpaceDE w:val="0"/>
        <w:autoSpaceDN w:val="0"/>
        <w:adjustRightInd w:val="0"/>
        <w:spacing w:after="0" w:line="240" w:lineRule="auto"/>
        <w:ind w:left="-567"/>
        <w:rPr>
          <w:rFonts w:ascii="Verdana" w:hAnsi="Verdana" w:cs="GillSans-Light"/>
        </w:rPr>
      </w:pPr>
    </w:p>
    <w:p w:rsidR="00EB3CBC" w:rsidRDefault="00EB3CBC" w:rsidP="005B5A59">
      <w:pPr>
        <w:autoSpaceDE w:val="0"/>
        <w:autoSpaceDN w:val="0"/>
        <w:adjustRightInd w:val="0"/>
        <w:spacing w:after="0" w:line="240" w:lineRule="auto"/>
        <w:ind w:left="-567"/>
        <w:rPr>
          <w:rFonts w:ascii="Verdana" w:hAnsi="Verdana" w:cs="GillSans-Light"/>
        </w:rPr>
      </w:pPr>
      <w:r w:rsidRPr="001A021B">
        <w:rPr>
          <w:rFonts w:ascii="Verdana" w:hAnsi="Verdana" w:cs="GillSans-Light"/>
        </w:rPr>
        <w:t xml:space="preserve">For fire rated ductwork however, the key document, </w:t>
      </w:r>
      <w:r w:rsidR="00206E2E">
        <w:rPr>
          <w:rFonts w:ascii="Verdana" w:hAnsi="Verdana" w:cs="GillSans-Light"/>
        </w:rPr>
        <w:t>draft</w:t>
      </w:r>
      <w:r w:rsidRPr="001A021B">
        <w:rPr>
          <w:rFonts w:ascii="Verdana" w:hAnsi="Verdana" w:cs="GillSans-Light"/>
        </w:rPr>
        <w:t xml:space="preserve"> BS EN 15871 – Fire resistance tests for service installations – Ducts - has not been finalised and ratified.</w:t>
      </w:r>
    </w:p>
    <w:p w:rsidR="00206E2E" w:rsidRPr="001A021B" w:rsidRDefault="00206E2E" w:rsidP="005B5A59">
      <w:pPr>
        <w:autoSpaceDE w:val="0"/>
        <w:autoSpaceDN w:val="0"/>
        <w:adjustRightInd w:val="0"/>
        <w:spacing w:after="0" w:line="240" w:lineRule="auto"/>
        <w:ind w:left="-567"/>
        <w:rPr>
          <w:rFonts w:ascii="Verdana" w:hAnsi="Verdana" w:cs="GillSans-Light"/>
        </w:rPr>
      </w:pPr>
    </w:p>
    <w:p w:rsidR="00E17323" w:rsidRPr="001A021B" w:rsidRDefault="00E17323" w:rsidP="005B5A59">
      <w:pPr>
        <w:autoSpaceDE w:val="0"/>
        <w:autoSpaceDN w:val="0"/>
        <w:adjustRightInd w:val="0"/>
        <w:spacing w:after="0" w:line="240" w:lineRule="auto"/>
        <w:ind w:left="-567"/>
        <w:rPr>
          <w:rFonts w:ascii="Verdana" w:hAnsi="Verdana" w:cs="GillSans-Light"/>
        </w:rPr>
      </w:pPr>
      <w:r w:rsidRPr="001A021B">
        <w:rPr>
          <w:rFonts w:ascii="Verdana" w:hAnsi="Verdana" w:cs="GillSans-Light"/>
        </w:rPr>
        <w:t xml:space="preserve">The </w:t>
      </w:r>
      <w:r w:rsidR="00936325" w:rsidRPr="001A021B">
        <w:rPr>
          <w:rFonts w:ascii="Verdana" w:hAnsi="Verdana" w:cs="GillSans-Light"/>
        </w:rPr>
        <w:t xml:space="preserve">current </w:t>
      </w:r>
      <w:r w:rsidRPr="001A021B">
        <w:rPr>
          <w:rFonts w:ascii="Verdana" w:hAnsi="Verdana" w:cs="GillSans-Light"/>
        </w:rPr>
        <w:t xml:space="preserve">status of EN 15871 is that </w:t>
      </w:r>
      <w:r w:rsidR="00206E2E">
        <w:rPr>
          <w:rFonts w:ascii="Verdana" w:hAnsi="Verdana" w:cs="GillSans-Light"/>
        </w:rPr>
        <w:t>i</w:t>
      </w:r>
      <w:r w:rsidRPr="001A021B">
        <w:rPr>
          <w:rFonts w:ascii="Verdana" w:hAnsi="Verdana" w:cs="GillSans-Light"/>
        </w:rPr>
        <w:t>t is under review by the various EU countries, including the UK. The draft calls up EN 1366 as the relevant testing standard</w:t>
      </w:r>
      <w:r w:rsidR="00206E2E">
        <w:rPr>
          <w:rFonts w:ascii="Verdana" w:hAnsi="Verdana" w:cs="GillSans-Light"/>
        </w:rPr>
        <w:t>.  M</w:t>
      </w:r>
      <w:r w:rsidRPr="001A021B">
        <w:rPr>
          <w:rFonts w:ascii="Verdana" w:hAnsi="Verdana" w:cs="GillSans-Light"/>
        </w:rPr>
        <w:t>embers are advised</w:t>
      </w:r>
      <w:r w:rsidR="00936325" w:rsidRPr="001A021B">
        <w:rPr>
          <w:rFonts w:ascii="Verdana" w:hAnsi="Verdana" w:cs="GillSans-Light"/>
        </w:rPr>
        <w:t xml:space="preserve"> that once draft</w:t>
      </w:r>
      <w:r w:rsidRPr="001A021B">
        <w:rPr>
          <w:rFonts w:ascii="Verdana" w:hAnsi="Verdana" w:cs="GillSans-Light"/>
        </w:rPr>
        <w:t xml:space="preserve"> EN 15781 becomes a European Standard, the existing BS 476 Part 24 will be</w:t>
      </w:r>
      <w:r w:rsidR="0067134B" w:rsidRPr="001A021B">
        <w:rPr>
          <w:rFonts w:ascii="Verdana" w:hAnsi="Verdana" w:cs="GillSans-Light"/>
        </w:rPr>
        <w:t xml:space="preserve"> superceded and</w:t>
      </w:r>
      <w:r w:rsidRPr="001A021B">
        <w:rPr>
          <w:rFonts w:ascii="Verdana" w:hAnsi="Verdana" w:cs="GillSans-Light"/>
        </w:rPr>
        <w:t xml:space="preserve"> withdrawn by BSI.</w:t>
      </w:r>
    </w:p>
    <w:p w:rsidR="0006605A" w:rsidRDefault="0006605A" w:rsidP="00EB3CBC">
      <w:pPr>
        <w:autoSpaceDE w:val="0"/>
        <w:autoSpaceDN w:val="0"/>
        <w:adjustRightInd w:val="0"/>
        <w:spacing w:after="0" w:line="240" w:lineRule="auto"/>
        <w:rPr>
          <w:rFonts w:ascii="Verdana" w:hAnsi="Verdana" w:cs="GillSans-Light"/>
        </w:rPr>
      </w:pPr>
    </w:p>
    <w:p w:rsidR="0013543D" w:rsidRPr="001A021B" w:rsidRDefault="0013543D" w:rsidP="00EB3CBC">
      <w:pPr>
        <w:autoSpaceDE w:val="0"/>
        <w:autoSpaceDN w:val="0"/>
        <w:adjustRightInd w:val="0"/>
        <w:spacing w:after="0" w:line="240" w:lineRule="auto"/>
        <w:rPr>
          <w:rFonts w:ascii="Verdana" w:hAnsi="Verdana" w:cs="GillSans-Light"/>
        </w:rPr>
      </w:pPr>
    </w:p>
    <w:p w:rsidR="00B362CD" w:rsidRPr="0013543D" w:rsidRDefault="00206E2E" w:rsidP="00206E2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-Light"/>
        </w:rPr>
      </w:pPr>
      <w:r>
        <w:rPr>
          <w:rFonts w:ascii="Verdana" w:hAnsi="Verdana" w:cs="GillSans-Light"/>
          <w:u w:val="single"/>
        </w:rPr>
        <w:t>Formal Position</w:t>
      </w:r>
    </w:p>
    <w:p w:rsidR="0013543D" w:rsidRPr="00206E2E" w:rsidRDefault="0013543D" w:rsidP="0013543D">
      <w:pPr>
        <w:pStyle w:val="ListParagraph"/>
        <w:autoSpaceDE w:val="0"/>
        <w:autoSpaceDN w:val="0"/>
        <w:adjustRightInd w:val="0"/>
        <w:spacing w:after="0" w:line="240" w:lineRule="auto"/>
        <w:ind w:left="-207"/>
        <w:rPr>
          <w:rFonts w:ascii="Verdana" w:hAnsi="Verdana" w:cs="GillSans-Light"/>
        </w:rPr>
      </w:pPr>
    </w:p>
    <w:p w:rsidR="00B362CD" w:rsidRPr="00206E2E" w:rsidRDefault="00B362CD" w:rsidP="00206E2E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-Light"/>
        </w:rPr>
      </w:pPr>
      <w:r w:rsidRPr="00206E2E">
        <w:rPr>
          <w:rFonts w:ascii="Verdana" w:hAnsi="Verdana" w:cs="GillSans-Light"/>
        </w:rPr>
        <w:t xml:space="preserve">Members who manufacture smoke extract ductwork must ensure that </w:t>
      </w:r>
      <w:r w:rsidR="00206E2E">
        <w:rPr>
          <w:rFonts w:ascii="Verdana" w:hAnsi="Verdana" w:cs="GillSans-Light"/>
        </w:rPr>
        <w:t>it</w:t>
      </w:r>
      <w:r w:rsidRPr="00206E2E">
        <w:rPr>
          <w:rFonts w:ascii="Verdana" w:hAnsi="Verdana" w:cs="GillSans-Light"/>
        </w:rPr>
        <w:t xml:space="preserve"> has been tested in accordance with the requirements of BS EN 12101 and is CE marked. </w:t>
      </w:r>
    </w:p>
    <w:p w:rsidR="00B362CD" w:rsidRPr="001A021B" w:rsidRDefault="00B362CD" w:rsidP="005B5A59">
      <w:pPr>
        <w:autoSpaceDE w:val="0"/>
        <w:autoSpaceDN w:val="0"/>
        <w:adjustRightInd w:val="0"/>
        <w:spacing w:after="0" w:line="240" w:lineRule="auto"/>
        <w:ind w:left="426"/>
        <w:rPr>
          <w:rFonts w:ascii="Verdana" w:hAnsi="Verdana" w:cs="GillSans-Light"/>
        </w:rPr>
      </w:pPr>
    </w:p>
    <w:p w:rsidR="00206E2E" w:rsidRDefault="00B362CD" w:rsidP="00206E2E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-Light"/>
        </w:rPr>
      </w:pPr>
      <w:r w:rsidRPr="00206E2E">
        <w:rPr>
          <w:rFonts w:ascii="Verdana" w:hAnsi="Verdana" w:cs="GillSans-Light"/>
        </w:rPr>
        <w:t xml:space="preserve">Members who manufacture </w:t>
      </w:r>
      <w:r w:rsidR="00206E2E">
        <w:rPr>
          <w:rFonts w:ascii="Verdana" w:hAnsi="Verdana" w:cs="GillSans-Light"/>
        </w:rPr>
        <w:t>FRD</w:t>
      </w:r>
      <w:r w:rsidR="005915CA" w:rsidRPr="00206E2E">
        <w:rPr>
          <w:rFonts w:ascii="Verdana" w:hAnsi="Verdana" w:cs="GillSans-Light"/>
        </w:rPr>
        <w:t xml:space="preserve"> should ensure that any</w:t>
      </w:r>
      <w:r w:rsidRPr="00206E2E">
        <w:rPr>
          <w:rFonts w:ascii="Verdana" w:hAnsi="Verdana" w:cs="GillSans-Light"/>
        </w:rPr>
        <w:t xml:space="preserve"> ductwork placed on the </w:t>
      </w:r>
      <w:r w:rsidR="005915CA" w:rsidRPr="00206E2E">
        <w:rPr>
          <w:rFonts w:ascii="Verdana" w:hAnsi="Verdana" w:cs="GillSans-Light"/>
        </w:rPr>
        <w:t xml:space="preserve">UK </w:t>
      </w:r>
      <w:r w:rsidRPr="00206E2E">
        <w:rPr>
          <w:rFonts w:ascii="Verdana" w:hAnsi="Verdana" w:cs="GillSans-Light"/>
        </w:rPr>
        <w:t>market has been tested in accordance with either the current British Standard BS 476</w:t>
      </w:r>
      <w:r w:rsidR="00206E2E">
        <w:rPr>
          <w:rFonts w:ascii="Verdana" w:hAnsi="Verdana" w:cs="GillSans-Light"/>
        </w:rPr>
        <w:t xml:space="preserve"> Part 24</w:t>
      </w:r>
      <w:r w:rsidRPr="00206E2E">
        <w:rPr>
          <w:rFonts w:ascii="Verdana" w:hAnsi="Verdana" w:cs="GillSans-Light"/>
        </w:rPr>
        <w:t xml:space="preserve"> or BS EN 1366</w:t>
      </w:r>
      <w:r w:rsidR="00206E2E">
        <w:rPr>
          <w:rFonts w:ascii="Verdana" w:hAnsi="Verdana" w:cs="GillSans-Light"/>
        </w:rPr>
        <w:t>-1</w:t>
      </w:r>
    </w:p>
    <w:p w:rsidR="00206E2E" w:rsidRPr="00206E2E" w:rsidRDefault="00206E2E" w:rsidP="00206E2E">
      <w:pPr>
        <w:pStyle w:val="ListParagraph"/>
        <w:rPr>
          <w:rFonts w:ascii="Verdana" w:hAnsi="Verdana" w:cs="GillSans-Light"/>
        </w:rPr>
      </w:pPr>
    </w:p>
    <w:p w:rsidR="0006605A" w:rsidRPr="001A021B" w:rsidRDefault="00B362CD" w:rsidP="00206E2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GillSans-Light"/>
        </w:rPr>
      </w:pPr>
      <w:r w:rsidRPr="001A021B">
        <w:rPr>
          <w:rFonts w:ascii="Verdana" w:hAnsi="Verdana" w:cs="GillSans-Light"/>
        </w:rPr>
        <w:t>As no harmonised European Standard currently exists, products cannot be CE marked.</w:t>
      </w:r>
      <w:r w:rsidR="008D2749" w:rsidRPr="001A021B">
        <w:rPr>
          <w:rFonts w:ascii="Verdana" w:hAnsi="Verdana" w:cs="GillSans-Light"/>
        </w:rPr>
        <w:t xml:space="preserve"> </w:t>
      </w:r>
    </w:p>
    <w:p w:rsidR="00206E2E" w:rsidRDefault="00206E2E" w:rsidP="005B5A59">
      <w:pPr>
        <w:autoSpaceDE w:val="0"/>
        <w:autoSpaceDN w:val="0"/>
        <w:adjustRightInd w:val="0"/>
        <w:spacing w:after="0" w:line="240" w:lineRule="auto"/>
        <w:ind w:left="426"/>
        <w:rPr>
          <w:rFonts w:ascii="Verdana" w:hAnsi="Verdana" w:cs="GillSans-Light"/>
        </w:rPr>
      </w:pPr>
    </w:p>
    <w:p w:rsidR="000E5A68" w:rsidRPr="001A021B" w:rsidRDefault="00B362CD" w:rsidP="00206E2E">
      <w:pPr>
        <w:autoSpaceDE w:val="0"/>
        <w:autoSpaceDN w:val="0"/>
        <w:adjustRightInd w:val="0"/>
        <w:spacing w:after="0" w:line="240" w:lineRule="auto"/>
        <w:ind w:left="1014"/>
        <w:rPr>
          <w:rFonts w:ascii="Verdana" w:hAnsi="Verdana" w:cs="GillSans-Light"/>
        </w:rPr>
      </w:pPr>
      <w:r w:rsidRPr="001A021B">
        <w:rPr>
          <w:rFonts w:ascii="Verdana" w:hAnsi="Verdana" w:cs="GillSans-Light"/>
        </w:rPr>
        <w:t xml:space="preserve">Once the </w:t>
      </w:r>
      <w:r w:rsidR="0006605A" w:rsidRPr="001A021B">
        <w:rPr>
          <w:rFonts w:ascii="Verdana" w:hAnsi="Verdana" w:cs="GillSans-Light"/>
        </w:rPr>
        <w:t xml:space="preserve">draft </w:t>
      </w:r>
      <w:r w:rsidRPr="001A021B">
        <w:rPr>
          <w:rFonts w:ascii="Verdana" w:hAnsi="Verdana" w:cs="GillSans-Light"/>
        </w:rPr>
        <w:t xml:space="preserve">harmonised European Standard </w:t>
      </w:r>
      <w:r w:rsidR="00D34444" w:rsidRPr="001A021B">
        <w:rPr>
          <w:rFonts w:ascii="Verdana" w:hAnsi="Verdana" w:cs="GillSans-Light"/>
        </w:rPr>
        <w:t xml:space="preserve">EN 15871 is completed and ratified by </w:t>
      </w:r>
      <w:r w:rsidR="00206E2E">
        <w:rPr>
          <w:rFonts w:ascii="Verdana" w:hAnsi="Verdana" w:cs="GillSans-Light"/>
        </w:rPr>
        <w:t>CEN</w:t>
      </w:r>
      <w:r w:rsidR="00D34444" w:rsidRPr="001A021B">
        <w:rPr>
          <w:rFonts w:ascii="Verdana" w:hAnsi="Verdana" w:cs="GillSans-Light"/>
        </w:rPr>
        <w:t xml:space="preserve">, there is likely to be a period of time, typically 1 year, to allow industry to make the transition to the new arrangements. </w:t>
      </w:r>
    </w:p>
    <w:p w:rsidR="00206E2E" w:rsidRDefault="00206E2E" w:rsidP="005B5A59">
      <w:pPr>
        <w:autoSpaceDE w:val="0"/>
        <w:autoSpaceDN w:val="0"/>
        <w:adjustRightInd w:val="0"/>
        <w:spacing w:after="0" w:line="240" w:lineRule="auto"/>
        <w:ind w:left="426"/>
        <w:rPr>
          <w:rFonts w:ascii="Verdana" w:hAnsi="Verdana" w:cs="GillSans-Light"/>
        </w:rPr>
      </w:pPr>
    </w:p>
    <w:p w:rsidR="0006605A" w:rsidRPr="001A021B" w:rsidRDefault="0006605A" w:rsidP="00206E2E">
      <w:pPr>
        <w:autoSpaceDE w:val="0"/>
        <w:autoSpaceDN w:val="0"/>
        <w:adjustRightInd w:val="0"/>
        <w:spacing w:after="0" w:line="240" w:lineRule="auto"/>
        <w:ind w:left="1014"/>
        <w:rPr>
          <w:rFonts w:ascii="Verdana" w:hAnsi="Verdana" w:cs="GillSans-Light"/>
        </w:rPr>
      </w:pPr>
      <w:r w:rsidRPr="001A021B">
        <w:rPr>
          <w:rFonts w:ascii="Verdana" w:hAnsi="Verdana" w:cs="GillSans-Light"/>
        </w:rPr>
        <w:t xml:space="preserve">It will then become mandatory under the </w:t>
      </w:r>
      <w:r w:rsidR="00206E2E">
        <w:rPr>
          <w:rFonts w:ascii="Verdana" w:hAnsi="Verdana" w:cs="GillSans-Light"/>
        </w:rPr>
        <w:t xml:space="preserve">CPR </w:t>
      </w:r>
      <w:r w:rsidRPr="001A021B">
        <w:rPr>
          <w:rFonts w:ascii="Verdana" w:hAnsi="Verdana" w:cs="GillSans-Light"/>
        </w:rPr>
        <w:t xml:space="preserve">to </w:t>
      </w:r>
      <w:r w:rsidRPr="00206E2E">
        <w:rPr>
          <w:rFonts w:ascii="Verdana" w:hAnsi="Verdana" w:cs="GillSans-Light"/>
          <w:u w:val="single"/>
        </w:rPr>
        <w:t>only</w:t>
      </w:r>
      <w:r w:rsidRPr="001A021B">
        <w:rPr>
          <w:rFonts w:ascii="Verdana" w:hAnsi="Verdana" w:cs="GillSans-Light"/>
        </w:rPr>
        <w:t xml:space="preserve"> supply CE marked product into the </w:t>
      </w:r>
      <w:proofErr w:type="gramStart"/>
      <w:r w:rsidRPr="001A021B">
        <w:rPr>
          <w:rFonts w:ascii="Verdana" w:hAnsi="Verdana" w:cs="GillSans-Light"/>
        </w:rPr>
        <w:t>market</w:t>
      </w:r>
      <w:r w:rsidR="00206E2E">
        <w:rPr>
          <w:rFonts w:ascii="Verdana" w:hAnsi="Verdana" w:cs="GillSans-Light"/>
        </w:rPr>
        <w:t>, that</w:t>
      </w:r>
      <w:proofErr w:type="gramEnd"/>
      <w:r w:rsidR="00206E2E">
        <w:rPr>
          <w:rFonts w:ascii="Verdana" w:hAnsi="Verdana" w:cs="GillSans-Light"/>
        </w:rPr>
        <w:t xml:space="preserve"> has been tested to EN15871</w:t>
      </w:r>
      <w:r w:rsidRPr="001A021B">
        <w:rPr>
          <w:rFonts w:ascii="Verdana" w:hAnsi="Verdana" w:cs="GillSans-Light"/>
        </w:rPr>
        <w:t>.</w:t>
      </w:r>
    </w:p>
    <w:p w:rsidR="005B5A59" w:rsidRPr="001A021B" w:rsidRDefault="005B5A59" w:rsidP="005B5A59">
      <w:pPr>
        <w:autoSpaceDE w:val="0"/>
        <w:autoSpaceDN w:val="0"/>
        <w:adjustRightInd w:val="0"/>
        <w:spacing w:after="0" w:line="240" w:lineRule="auto"/>
        <w:ind w:left="426"/>
        <w:rPr>
          <w:rFonts w:ascii="Verdana" w:hAnsi="Verdana" w:cs="GillSans-Light"/>
        </w:rPr>
      </w:pPr>
    </w:p>
    <w:p w:rsidR="003F0FC6" w:rsidRPr="001A021B" w:rsidRDefault="003D4965" w:rsidP="003D4965">
      <w:pPr>
        <w:autoSpaceDE w:val="0"/>
        <w:autoSpaceDN w:val="0"/>
        <w:adjustRightInd w:val="0"/>
        <w:spacing w:after="0" w:line="240" w:lineRule="auto"/>
        <w:ind w:left="993" w:hanging="709"/>
        <w:rPr>
          <w:rFonts w:ascii="Verdana" w:hAnsi="Verdana" w:cs="GillSans-Light"/>
        </w:rPr>
      </w:pPr>
      <w:r>
        <w:rPr>
          <w:rFonts w:ascii="Verdana" w:hAnsi="Verdana" w:cs="GillSans-Light"/>
        </w:rPr>
        <w:t>3.3</w:t>
      </w:r>
      <w:r>
        <w:rPr>
          <w:rFonts w:ascii="Verdana" w:hAnsi="Verdana" w:cs="GillSans-Light"/>
        </w:rPr>
        <w:tab/>
      </w:r>
      <w:r w:rsidR="008D2749" w:rsidRPr="001A021B">
        <w:rPr>
          <w:rFonts w:ascii="Verdana" w:hAnsi="Verdana" w:cs="GillSans-Light"/>
        </w:rPr>
        <w:t>If they have not already done so, m</w:t>
      </w:r>
      <w:r w:rsidR="000402AB" w:rsidRPr="001A021B">
        <w:rPr>
          <w:rFonts w:ascii="Verdana" w:hAnsi="Verdana" w:cs="GillSans-Light"/>
        </w:rPr>
        <w:t>embers</w:t>
      </w:r>
      <w:r w:rsidR="008D2749" w:rsidRPr="001A021B">
        <w:rPr>
          <w:rFonts w:ascii="Verdana" w:hAnsi="Verdana" w:cs="GillSans-Light"/>
        </w:rPr>
        <w:t xml:space="preserve"> </w:t>
      </w:r>
      <w:r w:rsidR="0006605A" w:rsidRPr="001A021B">
        <w:rPr>
          <w:rFonts w:ascii="Verdana" w:hAnsi="Verdana" w:cs="GillSans-Light"/>
        </w:rPr>
        <w:t xml:space="preserve">are advised to </w:t>
      </w:r>
      <w:r w:rsidR="008D2749" w:rsidRPr="001A021B">
        <w:rPr>
          <w:rFonts w:ascii="Verdana" w:hAnsi="Verdana" w:cs="GillSans-Light"/>
        </w:rPr>
        <w:t>us</w:t>
      </w:r>
      <w:r>
        <w:rPr>
          <w:rFonts w:ascii="Verdana" w:hAnsi="Verdana" w:cs="GillSans-Light"/>
        </w:rPr>
        <w:t>e</w:t>
      </w:r>
      <w:r w:rsidR="008D2749" w:rsidRPr="001A021B">
        <w:rPr>
          <w:rFonts w:ascii="Verdana" w:hAnsi="Verdana" w:cs="GillSans-Light"/>
        </w:rPr>
        <w:t xml:space="preserve"> the time available to them </w:t>
      </w:r>
      <w:r w:rsidR="0006605A" w:rsidRPr="001A021B">
        <w:rPr>
          <w:rFonts w:ascii="Verdana" w:hAnsi="Verdana" w:cs="GillSans-Light"/>
        </w:rPr>
        <w:t>before the draft EN 15871 is ratified</w:t>
      </w:r>
      <w:r>
        <w:rPr>
          <w:rFonts w:ascii="Verdana" w:hAnsi="Verdana" w:cs="GillSans-Light"/>
        </w:rPr>
        <w:t xml:space="preserve"> </w:t>
      </w:r>
      <w:r w:rsidR="008D2749" w:rsidRPr="001A021B">
        <w:rPr>
          <w:rFonts w:ascii="Verdana" w:hAnsi="Verdana" w:cs="GillSans-Light"/>
        </w:rPr>
        <w:t xml:space="preserve">to </w:t>
      </w:r>
      <w:r w:rsidR="0006605A" w:rsidRPr="001A021B">
        <w:rPr>
          <w:rFonts w:ascii="Verdana" w:hAnsi="Verdana" w:cs="GillSans-Light"/>
        </w:rPr>
        <w:t>have</w:t>
      </w:r>
      <w:r w:rsidR="008D2749" w:rsidRPr="001A021B">
        <w:rPr>
          <w:rFonts w:ascii="Verdana" w:hAnsi="Verdana" w:cs="GillSans-Light"/>
        </w:rPr>
        <w:t xml:space="preserve"> their </w:t>
      </w:r>
      <w:r w:rsidR="0067134B" w:rsidRPr="001A021B">
        <w:rPr>
          <w:rFonts w:ascii="Verdana" w:hAnsi="Verdana" w:cs="GillSans-Light"/>
        </w:rPr>
        <w:t xml:space="preserve">fire rated </w:t>
      </w:r>
      <w:r w:rsidR="008D2749" w:rsidRPr="001A021B">
        <w:rPr>
          <w:rFonts w:ascii="Verdana" w:hAnsi="Verdana" w:cs="GillSans-Light"/>
        </w:rPr>
        <w:t xml:space="preserve">products </w:t>
      </w:r>
      <w:r w:rsidR="0067134B" w:rsidRPr="001A021B">
        <w:rPr>
          <w:rFonts w:ascii="Verdana" w:hAnsi="Verdana" w:cs="GillSans-Light"/>
        </w:rPr>
        <w:t xml:space="preserve">tested </w:t>
      </w:r>
      <w:r w:rsidR="008D2749" w:rsidRPr="001A021B">
        <w:rPr>
          <w:rFonts w:ascii="Verdana" w:hAnsi="Verdana" w:cs="GillSans-Light"/>
        </w:rPr>
        <w:t>to BS</w:t>
      </w:r>
      <w:r w:rsidR="004E252D">
        <w:rPr>
          <w:rFonts w:ascii="Verdana" w:hAnsi="Verdana" w:cs="GillSans-Light"/>
        </w:rPr>
        <w:t xml:space="preserve"> </w:t>
      </w:r>
      <w:r w:rsidR="008D2749" w:rsidRPr="001A021B">
        <w:rPr>
          <w:rFonts w:ascii="Verdana" w:hAnsi="Verdana" w:cs="GillSans-Light"/>
        </w:rPr>
        <w:t xml:space="preserve">EN 1366. </w:t>
      </w:r>
    </w:p>
    <w:p w:rsidR="00B362CD" w:rsidRPr="001A021B" w:rsidRDefault="00B362CD" w:rsidP="00B362CD">
      <w:pPr>
        <w:autoSpaceDE w:val="0"/>
        <w:autoSpaceDN w:val="0"/>
        <w:adjustRightInd w:val="0"/>
        <w:spacing w:after="0" w:line="240" w:lineRule="auto"/>
        <w:rPr>
          <w:rFonts w:ascii="Verdana" w:hAnsi="Verdana" w:cs="GillSans-Light"/>
        </w:rPr>
      </w:pPr>
    </w:p>
    <w:p w:rsidR="00E07161" w:rsidRPr="003D4965" w:rsidRDefault="001017A0" w:rsidP="003D496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u w:val="single"/>
        </w:rPr>
      </w:pPr>
      <w:r w:rsidRPr="003D4965">
        <w:rPr>
          <w:rFonts w:ascii="Verdana" w:hAnsi="Verdana"/>
          <w:u w:val="single"/>
        </w:rPr>
        <w:t xml:space="preserve">Relevant </w:t>
      </w:r>
      <w:r w:rsidR="00E07161" w:rsidRPr="003D4965">
        <w:rPr>
          <w:rFonts w:ascii="Verdana" w:hAnsi="Verdana"/>
          <w:u w:val="single"/>
        </w:rPr>
        <w:t>European Standards</w:t>
      </w:r>
    </w:p>
    <w:p w:rsidR="00E07161" w:rsidRPr="001A021B" w:rsidRDefault="00E07161" w:rsidP="00A222B3">
      <w:pPr>
        <w:ind w:left="-567"/>
        <w:jc w:val="both"/>
        <w:rPr>
          <w:rFonts w:ascii="Verdana" w:hAnsi="Verdana"/>
        </w:rPr>
      </w:pPr>
    </w:p>
    <w:tbl>
      <w:tblPr>
        <w:tblW w:w="9080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4321"/>
        <w:gridCol w:w="3058"/>
      </w:tblGrid>
      <w:tr w:rsidR="00E07161" w:rsidRPr="001A021B" w:rsidTr="00E07161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E07161" w:rsidRPr="001A021B" w:rsidRDefault="00E07161" w:rsidP="00E07161">
            <w:pPr>
              <w:jc w:val="center"/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>Standard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E07161" w:rsidRPr="001A021B" w:rsidRDefault="00E07161" w:rsidP="00E07161">
            <w:pPr>
              <w:jc w:val="center"/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>Title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E07161" w:rsidRPr="001A021B" w:rsidRDefault="00E07161" w:rsidP="00E07161">
            <w:pPr>
              <w:jc w:val="center"/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>Reference</w:t>
            </w:r>
          </w:p>
        </w:tc>
      </w:tr>
      <w:tr w:rsidR="00E07161" w:rsidRPr="001A021B" w:rsidTr="00E07161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E07161" w:rsidRPr="001A021B" w:rsidRDefault="00E07161" w:rsidP="005915CA">
            <w:pPr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>EN12101-7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E07161" w:rsidRPr="001A021B" w:rsidRDefault="00E07161" w:rsidP="005915CA">
            <w:pPr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>Smoke and heat control systems. Smoke duct sections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E07161" w:rsidRPr="001A021B" w:rsidRDefault="00E07161" w:rsidP="005915CA">
            <w:pPr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>Smoke control ductwork</w:t>
            </w:r>
          </w:p>
        </w:tc>
      </w:tr>
      <w:tr w:rsidR="001017A0" w:rsidRPr="001A021B" w:rsidTr="005915CA">
        <w:trPr>
          <w:jc w:val="center"/>
        </w:trPr>
        <w:tc>
          <w:tcPr>
            <w:tcW w:w="1701" w:type="dxa"/>
            <w:shd w:val="clear" w:color="auto" w:fill="auto"/>
          </w:tcPr>
          <w:p w:rsidR="001017A0" w:rsidRDefault="001017A0" w:rsidP="005915CA">
            <w:pPr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>prEN15871</w:t>
            </w:r>
            <w:r w:rsidR="003D4965">
              <w:rPr>
                <w:rFonts w:ascii="Verdana" w:hAnsi="Verdana"/>
              </w:rPr>
              <w:t xml:space="preserve">  </w:t>
            </w:r>
          </w:p>
          <w:p w:rsidR="003D4965" w:rsidRPr="001A021B" w:rsidRDefault="003D4965" w:rsidP="005915C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(draft)</w:t>
            </w:r>
          </w:p>
        </w:tc>
        <w:tc>
          <w:tcPr>
            <w:tcW w:w="4321" w:type="dxa"/>
            <w:shd w:val="clear" w:color="auto" w:fill="auto"/>
          </w:tcPr>
          <w:p w:rsidR="001017A0" w:rsidRPr="001A021B" w:rsidRDefault="001017A0" w:rsidP="005915CA">
            <w:pPr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 xml:space="preserve">Fire resistance tests for service installations </w:t>
            </w:r>
            <w:r w:rsidR="004E252D">
              <w:rPr>
                <w:rFonts w:ascii="Verdana" w:hAnsi="Verdana"/>
              </w:rPr>
              <w:t>–</w:t>
            </w:r>
            <w:r w:rsidRPr="001A021B">
              <w:rPr>
                <w:rFonts w:ascii="Verdana" w:hAnsi="Verdana"/>
              </w:rPr>
              <w:t xml:space="preserve"> Ducts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1017A0" w:rsidRPr="001A021B" w:rsidRDefault="001017A0" w:rsidP="005915CA">
            <w:pPr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>Ducts for ventilation, pressurisation and kitchen extract</w:t>
            </w:r>
          </w:p>
        </w:tc>
      </w:tr>
    </w:tbl>
    <w:p w:rsidR="00E07161" w:rsidRPr="001A021B" w:rsidRDefault="00E07161" w:rsidP="00E07161">
      <w:pPr>
        <w:jc w:val="both"/>
        <w:rPr>
          <w:b/>
        </w:rPr>
      </w:pPr>
    </w:p>
    <w:p w:rsidR="00E07161" w:rsidRPr="001A021B" w:rsidRDefault="00E07161" w:rsidP="00A222B3">
      <w:pPr>
        <w:ind w:left="-567"/>
        <w:rPr>
          <w:rFonts w:ascii="Verdana" w:hAnsi="Verdana"/>
        </w:rPr>
      </w:pPr>
      <w:r w:rsidRPr="001A021B">
        <w:rPr>
          <w:rFonts w:ascii="Verdana" w:hAnsi="Verdana"/>
        </w:rPr>
        <w:t xml:space="preserve">The </w:t>
      </w:r>
      <w:r w:rsidR="003D4965">
        <w:rPr>
          <w:rFonts w:ascii="Verdana" w:hAnsi="Verdana"/>
        </w:rPr>
        <w:t>above</w:t>
      </w:r>
      <w:r w:rsidRPr="001A021B">
        <w:rPr>
          <w:rFonts w:ascii="Verdana" w:hAnsi="Verdana"/>
        </w:rPr>
        <w:t xml:space="preserve"> Standards require that </w:t>
      </w:r>
      <w:r w:rsidR="00DF7D93" w:rsidRPr="001A021B">
        <w:rPr>
          <w:rFonts w:ascii="Verdana" w:hAnsi="Verdana"/>
        </w:rPr>
        <w:t xml:space="preserve">fire rated </w:t>
      </w:r>
      <w:r w:rsidRPr="001A021B">
        <w:rPr>
          <w:rFonts w:ascii="Verdana" w:hAnsi="Verdana"/>
        </w:rPr>
        <w:t>duct is tested to at least one of the following Test Standards.</w:t>
      </w:r>
    </w:p>
    <w:tbl>
      <w:tblPr>
        <w:tblW w:w="0" w:type="auto"/>
        <w:jc w:val="center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3"/>
        <w:gridCol w:w="4115"/>
        <w:gridCol w:w="3118"/>
      </w:tblGrid>
      <w:tr w:rsidR="00E07161" w:rsidRPr="001A021B" w:rsidTr="00552E03">
        <w:trPr>
          <w:jc w:val="center"/>
        </w:trPr>
        <w:tc>
          <w:tcPr>
            <w:tcW w:w="1893" w:type="dxa"/>
            <w:shd w:val="clear" w:color="auto" w:fill="auto"/>
            <w:vAlign w:val="center"/>
          </w:tcPr>
          <w:p w:rsidR="00E07161" w:rsidRPr="001A021B" w:rsidRDefault="00E07161" w:rsidP="00552E03">
            <w:pPr>
              <w:jc w:val="center"/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>Standard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E07161" w:rsidRPr="001A021B" w:rsidRDefault="00E07161" w:rsidP="00552E03">
            <w:pPr>
              <w:jc w:val="center"/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>Title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07161" w:rsidRPr="001A021B" w:rsidRDefault="00E07161" w:rsidP="00552E03">
            <w:pPr>
              <w:jc w:val="center"/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>Reference</w:t>
            </w:r>
          </w:p>
        </w:tc>
      </w:tr>
      <w:tr w:rsidR="00E07161" w:rsidRPr="001A021B" w:rsidTr="00552E03">
        <w:trPr>
          <w:jc w:val="center"/>
        </w:trPr>
        <w:tc>
          <w:tcPr>
            <w:tcW w:w="1893" w:type="dxa"/>
            <w:shd w:val="clear" w:color="auto" w:fill="auto"/>
          </w:tcPr>
          <w:p w:rsidR="00E07161" w:rsidRPr="001A021B" w:rsidRDefault="00E07161" w:rsidP="00552E03">
            <w:pPr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>EN1366-1</w:t>
            </w:r>
          </w:p>
        </w:tc>
        <w:tc>
          <w:tcPr>
            <w:tcW w:w="4115" w:type="dxa"/>
            <w:shd w:val="clear" w:color="auto" w:fill="auto"/>
          </w:tcPr>
          <w:p w:rsidR="00E07161" w:rsidRPr="001A021B" w:rsidRDefault="00E07161" w:rsidP="00552E03">
            <w:pPr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>Fire resistance tests for service installations - Ducts</w:t>
            </w:r>
          </w:p>
        </w:tc>
        <w:tc>
          <w:tcPr>
            <w:tcW w:w="3118" w:type="dxa"/>
            <w:shd w:val="clear" w:color="auto" w:fill="auto"/>
          </w:tcPr>
          <w:p w:rsidR="00E07161" w:rsidRPr="001A021B" w:rsidRDefault="00E07161" w:rsidP="00552E03">
            <w:pPr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>Ducts for ventilation, pressurisation and kitchen extract</w:t>
            </w:r>
          </w:p>
        </w:tc>
      </w:tr>
      <w:tr w:rsidR="00E07161" w:rsidRPr="001A021B" w:rsidTr="00552E03">
        <w:trPr>
          <w:jc w:val="center"/>
        </w:trPr>
        <w:tc>
          <w:tcPr>
            <w:tcW w:w="1893" w:type="dxa"/>
            <w:shd w:val="clear" w:color="auto" w:fill="auto"/>
          </w:tcPr>
          <w:p w:rsidR="00E07161" w:rsidRPr="001A021B" w:rsidRDefault="00E07161" w:rsidP="00552E03">
            <w:pPr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>EN1366-5</w:t>
            </w:r>
          </w:p>
        </w:tc>
        <w:tc>
          <w:tcPr>
            <w:tcW w:w="4115" w:type="dxa"/>
            <w:shd w:val="clear" w:color="auto" w:fill="auto"/>
          </w:tcPr>
          <w:p w:rsidR="00E07161" w:rsidRPr="001A021B" w:rsidRDefault="00E07161" w:rsidP="00552E03">
            <w:pPr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 xml:space="preserve">Fire resistance tests for service installations - Service ducts and </w:t>
            </w:r>
            <w:r w:rsidRPr="001A021B">
              <w:rPr>
                <w:rFonts w:ascii="Verdana" w:hAnsi="Verdana"/>
              </w:rPr>
              <w:lastRenderedPageBreak/>
              <w:t>shafts</w:t>
            </w:r>
          </w:p>
        </w:tc>
        <w:tc>
          <w:tcPr>
            <w:tcW w:w="3118" w:type="dxa"/>
            <w:shd w:val="clear" w:color="auto" w:fill="auto"/>
          </w:tcPr>
          <w:p w:rsidR="00E07161" w:rsidRPr="001A021B" w:rsidRDefault="00E07161" w:rsidP="00552E03">
            <w:pPr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lastRenderedPageBreak/>
              <w:t xml:space="preserve">Ducts for cables, pipes </w:t>
            </w:r>
            <w:r w:rsidRPr="001A021B">
              <w:rPr>
                <w:rFonts w:ascii="Verdana" w:hAnsi="Verdana"/>
              </w:rPr>
              <w:lastRenderedPageBreak/>
              <w:t>and other service</w:t>
            </w:r>
          </w:p>
        </w:tc>
      </w:tr>
      <w:tr w:rsidR="00E07161" w:rsidRPr="001A021B" w:rsidTr="00552E03">
        <w:trPr>
          <w:jc w:val="center"/>
        </w:trPr>
        <w:tc>
          <w:tcPr>
            <w:tcW w:w="1893" w:type="dxa"/>
            <w:shd w:val="clear" w:color="auto" w:fill="auto"/>
          </w:tcPr>
          <w:p w:rsidR="00E07161" w:rsidRPr="001A021B" w:rsidRDefault="00E07161" w:rsidP="00552E03">
            <w:pPr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lastRenderedPageBreak/>
              <w:t>EN1366-8</w:t>
            </w:r>
          </w:p>
        </w:tc>
        <w:tc>
          <w:tcPr>
            <w:tcW w:w="4115" w:type="dxa"/>
            <w:shd w:val="clear" w:color="auto" w:fill="auto"/>
          </w:tcPr>
          <w:p w:rsidR="00E07161" w:rsidRPr="001A021B" w:rsidRDefault="00E07161" w:rsidP="00552E03">
            <w:pPr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>Fire resistance tests for service installations – Smoke extraction ducts</w:t>
            </w:r>
          </w:p>
        </w:tc>
        <w:tc>
          <w:tcPr>
            <w:tcW w:w="3118" w:type="dxa"/>
            <w:shd w:val="clear" w:color="auto" w:fill="auto"/>
          </w:tcPr>
          <w:p w:rsidR="00E07161" w:rsidRPr="001A021B" w:rsidRDefault="00E07161" w:rsidP="00552E03">
            <w:pPr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>Ducts for multi compartment smoke extraction</w:t>
            </w:r>
          </w:p>
        </w:tc>
      </w:tr>
      <w:tr w:rsidR="00E07161" w:rsidRPr="001A021B" w:rsidTr="00552E03">
        <w:trPr>
          <w:jc w:val="center"/>
        </w:trPr>
        <w:tc>
          <w:tcPr>
            <w:tcW w:w="1893" w:type="dxa"/>
            <w:shd w:val="clear" w:color="auto" w:fill="auto"/>
          </w:tcPr>
          <w:p w:rsidR="00E07161" w:rsidRPr="001A021B" w:rsidRDefault="00E07161" w:rsidP="00552E03">
            <w:pPr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>EN1366-9</w:t>
            </w:r>
          </w:p>
        </w:tc>
        <w:tc>
          <w:tcPr>
            <w:tcW w:w="4115" w:type="dxa"/>
            <w:shd w:val="clear" w:color="auto" w:fill="auto"/>
          </w:tcPr>
          <w:p w:rsidR="00E07161" w:rsidRPr="001A021B" w:rsidRDefault="00E07161" w:rsidP="00552E03">
            <w:pPr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>Fire resistance tests for service installations. Single compartment smoke extraction ducts</w:t>
            </w:r>
          </w:p>
        </w:tc>
        <w:tc>
          <w:tcPr>
            <w:tcW w:w="3118" w:type="dxa"/>
            <w:shd w:val="clear" w:color="auto" w:fill="auto"/>
          </w:tcPr>
          <w:p w:rsidR="00E07161" w:rsidRPr="001A021B" w:rsidRDefault="00E07161" w:rsidP="00552E03">
            <w:pPr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>Ducts for single compartment smoke extraction</w:t>
            </w:r>
          </w:p>
        </w:tc>
      </w:tr>
    </w:tbl>
    <w:p w:rsidR="00552E03" w:rsidRPr="001A021B" w:rsidRDefault="00552E03" w:rsidP="00082A85">
      <w:pPr>
        <w:jc w:val="both"/>
        <w:rPr>
          <w:rFonts w:ascii="Verdana" w:hAnsi="Verdana"/>
        </w:rPr>
      </w:pPr>
    </w:p>
    <w:p w:rsidR="00E07161" w:rsidRPr="001A021B" w:rsidRDefault="00E07161" w:rsidP="008C12D5">
      <w:pPr>
        <w:ind w:left="-567"/>
        <w:rPr>
          <w:rFonts w:ascii="Verdana" w:hAnsi="Verdana"/>
        </w:rPr>
      </w:pPr>
      <w:r w:rsidRPr="001A021B">
        <w:rPr>
          <w:rFonts w:ascii="Verdana" w:hAnsi="Verdana"/>
        </w:rPr>
        <w:t xml:space="preserve">Ducts larger than 1000 x 1250mm rectangular or 1000mm circular are of a different pressure class than defined in the Direct field of Application, </w:t>
      </w:r>
      <w:r w:rsidR="00552E03" w:rsidRPr="001A021B">
        <w:rPr>
          <w:rFonts w:ascii="Verdana" w:hAnsi="Verdana"/>
        </w:rPr>
        <w:t xml:space="preserve">and </w:t>
      </w:r>
      <w:r w:rsidRPr="001A021B">
        <w:rPr>
          <w:rFonts w:ascii="Verdana" w:hAnsi="Verdana"/>
        </w:rPr>
        <w:t xml:space="preserve">will need to be tested </w:t>
      </w:r>
      <w:r w:rsidR="003D4965">
        <w:rPr>
          <w:rFonts w:ascii="Verdana" w:hAnsi="Verdana"/>
        </w:rPr>
        <w:t>in accordance with</w:t>
      </w:r>
      <w:r w:rsidRPr="001A021B">
        <w:rPr>
          <w:rFonts w:ascii="Verdana" w:hAnsi="Verdana"/>
        </w:rPr>
        <w:t xml:space="preserve"> the extended field of application test procedures</w:t>
      </w:r>
      <w:r w:rsidR="003D4965">
        <w:rPr>
          <w:rFonts w:ascii="Verdana" w:hAnsi="Verdana"/>
        </w:rPr>
        <w:t xml:space="preserve"> below</w:t>
      </w:r>
      <w:r w:rsidR="00102C2A" w:rsidRPr="001A021B">
        <w:rPr>
          <w:rFonts w:ascii="Verdana" w:hAnsi="Verdana"/>
        </w:rPr>
        <w:t>.</w:t>
      </w:r>
      <w:r w:rsidRPr="001A021B">
        <w:rPr>
          <w:rFonts w:ascii="Verdana" w:hAnsi="Verdana"/>
        </w:rPr>
        <w:t xml:space="preserve"> </w:t>
      </w:r>
    </w:p>
    <w:p w:rsidR="003D4965" w:rsidRDefault="003D4965" w:rsidP="003D4965">
      <w:pPr>
        <w:ind w:left="-567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</w:rPr>
        <w:t>5.</w:t>
      </w:r>
      <w:r>
        <w:rPr>
          <w:rFonts w:ascii="Verdana" w:hAnsi="Verdana"/>
        </w:rPr>
        <w:tab/>
      </w:r>
      <w:r w:rsidR="00E07161" w:rsidRPr="003D4965">
        <w:rPr>
          <w:rFonts w:ascii="Verdana" w:hAnsi="Verdana"/>
          <w:u w:val="single"/>
        </w:rPr>
        <w:t xml:space="preserve">Extended Fields of Application </w:t>
      </w:r>
      <w:r>
        <w:rPr>
          <w:rFonts w:ascii="Verdana" w:hAnsi="Verdana"/>
          <w:u w:val="single"/>
        </w:rPr>
        <w:t>S</w:t>
      </w:r>
      <w:r w:rsidR="00E07161" w:rsidRPr="003D4965">
        <w:rPr>
          <w:rFonts w:ascii="Verdana" w:hAnsi="Verdana"/>
          <w:u w:val="single"/>
        </w:rPr>
        <w:t>tandards for FRD</w:t>
      </w:r>
    </w:p>
    <w:p w:rsidR="00E07161" w:rsidRPr="003D4965" w:rsidRDefault="0013543D" w:rsidP="0013543D">
      <w:pPr>
        <w:tabs>
          <w:tab w:val="left" w:pos="284"/>
          <w:tab w:val="left" w:pos="993"/>
        </w:tabs>
        <w:ind w:left="720" w:hanging="1287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</w:rPr>
        <w:tab/>
      </w:r>
      <w:r w:rsidR="003D4965">
        <w:rPr>
          <w:rFonts w:ascii="Verdana" w:hAnsi="Verdana"/>
        </w:rPr>
        <w:t>5.1</w:t>
      </w:r>
      <w:r w:rsidR="003D4965">
        <w:rPr>
          <w:rFonts w:ascii="Verdana" w:hAnsi="Verdana"/>
        </w:rPr>
        <w:tab/>
      </w:r>
      <w:r w:rsidR="00E07161" w:rsidRPr="003D4965">
        <w:rPr>
          <w:rFonts w:ascii="Verdana" w:hAnsi="Verdana"/>
        </w:rPr>
        <w:t xml:space="preserve">Extended field of application standards (EXAPs) define how test results may be extended by a notified body to allow other applications and design changes. They are very limited and cannot simply be applied by a manufacturer.                 </w:t>
      </w:r>
    </w:p>
    <w:tbl>
      <w:tblPr>
        <w:tblW w:w="0" w:type="auto"/>
        <w:jc w:val="center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1"/>
        <w:gridCol w:w="4156"/>
        <w:gridCol w:w="3102"/>
      </w:tblGrid>
      <w:tr w:rsidR="00E07161" w:rsidRPr="001A021B" w:rsidTr="00552E03">
        <w:trPr>
          <w:jc w:val="center"/>
        </w:trPr>
        <w:tc>
          <w:tcPr>
            <w:tcW w:w="1881" w:type="dxa"/>
            <w:shd w:val="clear" w:color="auto" w:fill="auto"/>
            <w:vAlign w:val="center"/>
          </w:tcPr>
          <w:p w:rsidR="00E07161" w:rsidRPr="001A021B" w:rsidRDefault="00E07161" w:rsidP="00552E03">
            <w:pPr>
              <w:jc w:val="center"/>
              <w:rPr>
                <w:rFonts w:ascii="Verdana" w:hAnsi="Verdana"/>
                <w:b/>
              </w:rPr>
            </w:pPr>
            <w:r w:rsidRPr="001A021B">
              <w:rPr>
                <w:rFonts w:ascii="Verdana" w:hAnsi="Verdana"/>
                <w:b/>
              </w:rPr>
              <w:t>Standard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E07161" w:rsidRPr="001A021B" w:rsidRDefault="00E07161" w:rsidP="00552E03">
            <w:pPr>
              <w:jc w:val="center"/>
              <w:rPr>
                <w:rFonts w:ascii="Verdana" w:hAnsi="Verdana"/>
                <w:b/>
              </w:rPr>
            </w:pPr>
            <w:r w:rsidRPr="001A021B">
              <w:rPr>
                <w:rFonts w:ascii="Verdana" w:hAnsi="Verdana"/>
                <w:b/>
              </w:rPr>
              <w:t>Title</w:t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07161" w:rsidRPr="001A021B" w:rsidRDefault="00E07161" w:rsidP="00552E03">
            <w:pPr>
              <w:jc w:val="center"/>
              <w:rPr>
                <w:rFonts w:ascii="Verdana" w:hAnsi="Verdana"/>
                <w:b/>
              </w:rPr>
            </w:pPr>
            <w:r w:rsidRPr="001A021B">
              <w:rPr>
                <w:rFonts w:ascii="Verdana" w:hAnsi="Verdana"/>
                <w:b/>
              </w:rPr>
              <w:t>Reference</w:t>
            </w:r>
          </w:p>
        </w:tc>
      </w:tr>
      <w:tr w:rsidR="00E07161" w:rsidRPr="001A021B" w:rsidTr="00552E03">
        <w:trPr>
          <w:jc w:val="center"/>
        </w:trPr>
        <w:tc>
          <w:tcPr>
            <w:tcW w:w="1881" w:type="dxa"/>
            <w:shd w:val="clear" w:color="auto" w:fill="auto"/>
          </w:tcPr>
          <w:p w:rsidR="00E07161" w:rsidRPr="001A021B" w:rsidRDefault="00E07161" w:rsidP="00552E03">
            <w:pPr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>EN15882-1</w:t>
            </w:r>
          </w:p>
        </w:tc>
        <w:tc>
          <w:tcPr>
            <w:tcW w:w="4156" w:type="dxa"/>
            <w:shd w:val="clear" w:color="auto" w:fill="auto"/>
          </w:tcPr>
          <w:p w:rsidR="00E07161" w:rsidRPr="001A021B" w:rsidRDefault="00E07161" w:rsidP="00552E03">
            <w:pPr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>Extended application of results from fire resistance tests for service installations - Ducts</w:t>
            </w:r>
          </w:p>
        </w:tc>
        <w:tc>
          <w:tcPr>
            <w:tcW w:w="3102" w:type="dxa"/>
            <w:shd w:val="clear" w:color="auto" w:fill="auto"/>
          </w:tcPr>
          <w:p w:rsidR="00E07161" w:rsidRPr="001A021B" w:rsidRDefault="00E07161" w:rsidP="00552E03">
            <w:pPr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>Ducts for ventilation, pressurisation and kitchen extract</w:t>
            </w:r>
          </w:p>
        </w:tc>
      </w:tr>
      <w:tr w:rsidR="00E07161" w:rsidRPr="001A021B" w:rsidTr="00552E03">
        <w:trPr>
          <w:jc w:val="center"/>
        </w:trPr>
        <w:tc>
          <w:tcPr>
            <w:tcW w:w="1881" w:type="dxa"/>
            <w:shd w:val="clear" w:color="auto" w:fill="auto"/>
          </w:tcPr>
          <w:p w:rsidR="00E07161" w:rsidRPr="001A021B" w:rsidRDefault="00E07161" w:rsidP="00552E03">
            <w:pPr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>prEN15882-5</w:t>
            </w:r>
          </w:p>
        </w:tc>
        <w:tc>
          <w:tcPr>
            <w:tcW w:w="4156" w:type="dxa"/>
            <w:shd w:val="clear" w:color="auto" w:fill="auto"/>
          </w:tcPr>
          <w:p w:rsidR="00E07161" w:rsidRPr="001A021B" w:rsidRDefault="00E07161" w:rsidP="00552E03">
            <w:pPr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>Extended application of results from fire resistance tests for service installations – Smoke control ducts?</w:t>
            </w:r>
          </w:p>
        </w:tc>
        <w:tc>
          <w:tcPr>
            <w:tcW w:w="3102" w:type="dxa"/>
            <w:shd w:val="clear" w:color="auto" w:fill="auto"/>
          </w:tcPr>
          <w:p w:rsidR="00E07161" w:rsidRPr="001A021B" w:rsidRDefault="00E07161" w:rsidP="00552E03">
            <w:pPr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>Smoke control ducts etc.</w:t>
            </w:r>
          </w:p>
        </w:tc>
      </w:tr>
    </w:tbl>
    <w:p w:rsidR="00E07161" w:rsidRPr="001A021B" w:rsidRDefault="00E07161" w:rsidP="00E07161">
      <w:pPr>
        <w:jc w:val="both"/>
      </w:pPr>
    </w:p>
    <w:p w:rsidR="00E07161" w:rsidRPr="001A021B" w:rsidRDefault="0013543D" w:rsidP="0013543D">
      <w:pPr>
        <w:ind w:left="720" w:hanging="720"/>
        <w:rPr>
          <w:rFonts w:ascii="Verdana" w:hAnsi="Verdana"/>
        </w:rPr>
      </w:pPr>
      <w:r>
        <w:rPr>
          <w:rFonts w:ascii="Verdana" w:hAnsi="Verdana"/>
        </w:rPr>
        <w:t>5.2</w:t>
      </w:r>
      <w:r>
        <w:rPr>
          <w:rFonts w:ascii="Verdana" w:hAnsi="Verdana"/>
        </w:rPr>
        <w:tab/>
      </w:r>
      <w:r w:rsidR="00E07161" w:rsidRPr="001A021B">
        <w:rPr>
          <w:rFonts w:ascii="Verdana" w:hAnsi="Verdana"/>
        </w:rPr>
        <w:t>Classification Standard for ducts tested to BS EN1366- 1, 5, 8 or 9 &amp; BS EN 15882 – 1 or 5</w:t>
      </w:r>
      <w:r>
        <w:rPr>
          <w:rFonts w:ascii="Verdana" w:hAnsi="Verdana"/>
        </w:rPr>
        <w:t>, d</w:t>
      </w:r>
      <w:r w:rsidR="00E07161" w:rsidRPr="001A021B">
        <w:rPr>
          <w:rFonts w:ascii="Verdana" w:hAnsi="Verdana"/>
        </w:rPr>
        <w:t>efine how products may be classified following successful testing.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4111"/>
        <w:gridCol w:w="3119"/>
      </w:tblGrid>
      <w:tr w:rsidR="00E07161" w:rsidRPr="001A021B" w:rsidTr="0063023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E07161" w:rsidRPr="001A021B" w:rsidRDefault="00E07161" w:rsidP="00552E03">
            <w:pPr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>Standard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07161" w:rsidRPr="001A021B" w:rsidRDefault="00E07161" w:rsidP="00552E03">
            <w:pPr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>Title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07161" w:rsidRPr="001A021B" w:rsidRDefault="00E07161" w:rsidP="00552E03">
            <w:pPr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>Reference</w:t>
            </w:r>
          </w:p>
        </w:tc>
      </w:tr>
      <w:tr w:rsidR="00E07161" w:rsidRPr="001A021B" w:rsidTr="00630233">
        <w:trPr>
          <w:jc w:val="center"/>
        </w:trPr>
        <w:tc>
          <w:tcPr>
            <w:tcW w:w="1843" w:type="dxa"/>
            <w:shd w:val="clear" w:color="auto" w:fill="auto"/>
          </w:tcPr>
          <w:p w:rsidR="00E07161" w:rsidRPr="001A021B" w:rsidRDefault="00E07161" w:rsidP="00B362CD">
            <w:pPr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>EN13501-3</w:t>
            </w:r>
          </w:p>
        </w:tc>
        <w:tc>
          <w:tcPr>
            <w:tcW w:w="4111" w:type="dxa"/>
            <w:shd w:val="clear" w:color="auto" w:fill="auto"/>
          </w:tcPr>
          <w:p w:rsidR="00E07161" w:rsidRPr="001A021B" w:rsidRDefault="00E07161" w:rsidP="00B362CD">
            <w:pPr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>Fire classification of construction products and building elements. Fire resisting ducts and fire dampers</w:t>
            </w:r>
          </w:p>
        </w:tc>
        <w:tc>
          <w:tcPr>
            <w:tcW w:w="3119" w:type="dxa"/>
            <w:shd w:val="clear" w:color="auto" w:fill="auto"/>
          </w:tcPr>
          <w:p w:rsidR="00E07161" w:rsidRPr="001A021B" w:rsidRDefault="00E07161" w:rsidP="00B362CD">
            <w:pPr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t>Ducts for ventilation, pressurisation and kitchen extract</w:t>
            </w:r>
          </w:p>
        </w:tc>
      </w:tr>
      <w:tr w:rsidR="00E07161" w:rsidRPr="001A021B" w:rsidTr="00630233">
        <w:trPr>
          <w:jc w:val="center"/>
        </w:trPr>
        <w:tc>
          <w:tcPr>
            <w:tcW w:w="1843" w:type="dxa"/>
            <w:shd w:val="clear" w:color="auto" w:fill="auto"/>
          </w:tcPr>
          <w:p w:rsidR="00E07161" w:rsidRPr="001A021B" w:rsidRDefault="00E07161" w:rsidP="00B362CD">
            <w:pPr>
              <w:rPr>
                <w:rFonts w:ascii="Verdana" w:hAnsi="Verdana"/>
                <w:highlight w:val="yellow"/>
              </w:rPr>
            </w:pPr>
            <w:r w:rsidRPr="001A021B">
              <w:rPr>
                <w:rFonts w:ascii="Verdana" w:hAnsi="Verdana"/>
              </w:rPr>
              <w:t>EN13501-4</w:t>
            </w:r>
          </w:p>
        </w:tc>
        <w:tc>
          <w:tcPr>
            <w:tcW w:w="4111" w:type="dxa"/>
            <w:shd w:val="clear" w:color="auto" w:fill="auto"/>
          </w:tcPr>
          <w:p w:rsidR="00E07161" w:rsidRPr="001A021B" w:rsidRDefault="00E07161" w:rsidP="00B362CD">
            <w:pPr>
              <w:rPr>
                <w:rFonts w:ascii="Verdana" w:hAnsi="Verdana"/>
                <w:highlight w:val="yellow"/>
              </w:rPr>
            </w:pPr>
            <w:r w:rsidRPr="001A021B">
              <w:rPr>
                <w:rFonts w:ascii="Verdana" w:hAnsi="Verdana"/>
              </w:rPr>
              <w:t xml:space="preserve">Fire classification using data from fire resistance tests on </w:t>
            </w:r>
            <w:r w:rsidRPr="001A021B">
              <w:rPr>
                <w:rFonts w:ascii="Verdana" w:hAnsi="Verdana"/>
              </w:rPr>
              <w:lastRenderedPageBreak/>
              <w:t>components of smoke control systems</w:t>
            </w:r>
          </w:p>
        </w:tc>
        <w:tc>
          <w:tcPr>
            <w:tcW w:w="3119" w:type="dxa"/>
            <w:shd w:val="clear" w:color="auto" w:fill="auto"/>
          </w:tcPr>
          <w:p w:rsidR="00E07161" w:rsidRPr="001A021B" w:rsidRDefault="00E07161" w:rsidP="00B362CD">
            <w:pPr>
              <w:rPr>
                <w:rFonts w:ascii="Verdana" w:hAnsi="Verdana"/>
              </w:rPr>
            </w:pPr>
            <w:r w:rsidRPr="001A021B">
              <w:rPr>
                <w:rFonts w:ascii="Verdana" w:hAnsi="Verdana"/>
              </w:rPr>
              <w:lastRenderedPageBreak/>
              <w:t>Smoke control ducts etc.</w:t>
            </w:r>
          </w:p>
        </w:tc>
      </w:tr>
    </w:tbl>
    <w:p w:rsidR="00654D92" w:rsidRPr="001A021B" w:rsidRDefault="00654D92"/>
    <w:p w:rsidR="00654D92" w:rsidRPr="001A021B" w:rsidRDefault="0013543D" w:rsidP="0013543D">
      <w:pPr>
        <w:jc w:val="right"/>
        <w:rPr>
          <w:rFonts w:ascii="Verdana" w:hAnsi="Verdana"/>
        </w:rPr>
      </w:pPr>
      <w:r>
        <w:rPr>
          <w:rFonts w:ascii="Verdana" w:hAnsi="Verdana"/>
        </w:rPr>
        <w:t>Version</w:t>
      </w:r>
      <w:r w:rsidR="00654D92" w:rsidRPr="001A021B">
        <w:rPr>
          <w:rFonts w:ascii="Verdana" w:hAnsi="Verdana"/>
        </w:rPr>
        <w:t xml:space="preserve"> 1</w:t>
      </w:r>
      <w:r>
        <w:rPr>
          <w:rFonts w:ascii="Verdana" w:hAnsi="Verdana"/>
        </w:rPr>
        <w:t xml:space="preserve"> (Jan 14)</w:t>
      </w:r>
    </w:p>
    <w:p w:rsidR="00E07161" w:rsidRPr="001A021B" w:rsidRDefault="00E07161" w:rsidP="00E07161">
      <w:pPr>
        <w:jc w:val="both"/>
        <w:rPr>
          <w:rFonts w:ascii="Verdana" w:hAnsi="Verdana"/>
        </w:rPr>
      </w:pPr>
    </w:p>
    <w:p w:rsidR="00493E1F" w:rsidRPr="001A021B" w:rsidRDefault="00493E1F" w:rsidP="00CD06C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sectPr w:rsidR="00493E1F" w:rsidRPr="001A021B" w:rsidSect="0013543D">
      <w:headerReference w:type="default" r:id="rId9"/>
      <w:footerReference w:type="default" r:id="rId10"/>
      <w:pgSz w:w="11906" w:h="16838"/>
      <w:pgMar w:top="709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965" w:rsidRDefault="003D4965" w:rsidP="005875BB">
      <w:pPr>
        <w:spacing w:after="0" w:line="240" w:lineRule="auto"/>
      </w:pPr>
      <w:r>
        <w:separator/>
      </w:r>
    </w:p>
  </w:endnote>
  <w:endnote w:type="continuationSeparator" w:id="0">
    <w:p w:rsidR="003D4965" w:rsidRDefault="003D4965" w:rsidP="0058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16175"/>
      <w:docPartObj>
        <w:docPartGallery w:val="Page Numbers (Bottom of Page)"/>
        <w:docPartUnique/>
      </w:docPartObj>
    </w:sdtPr>
    <w:sdtContent>
      <w:p w:rsidR="003D4965" w:rsidRDefault="00D7669E">
        <w:pPr>
          <w:pStyle w:val="Footer"/>
          <w:jc w:val="center"/>
        </w:pPr>
        <w:fldSimple w:instr=" PAGE   \* MERGEFORMAT ">
          <w:r w:rsidR="004E252D">
            <w:rPr>
              <w:noProof/>
            </w:rPr>
            <w:t>3</w:t>
          </w:r>
        </w:fldSimple>
      </w:p>
      <w:p w:rsidR="003D4965" w:rsidRDefault="00D7669E">
        <w:pPr>
          <w:pStyle w:val="Footer"/>
          <w:jc w:val="center"/>
        </w:pPr>
      </w:p>
    </w:sdtContent>
  </w:sdt>
  <w:p w:rsidR="003D4965" w:rsidRDefault="003D49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965" w:rsidRDefault="003D4965" w:rsidP="005875BB">
      <w:pPr>
        <w:spacing w:after="0" w:line="240" w:lineRule="auto"/>
      </w:pPr>
      <w:r>
        <w:separator/>
      </w:r>
    </w:p>
  </w:footnote>
  <w:footnote w:type="continuationSeparator" w:id="0">
    <w:p w:rsidR="003D4965" w:rsidRDefault="003D4965" w:rsidP="00587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965" w:rsidRDefault="003D4965">
    <w:pPr>
      <w:pStyle w:val="Header"/>
    </w:pPr>
  </w:p>
  <w:p w:rsidR="003D4965" w:rsidRDefault="003D49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1EAD"/>
    <w:multiLevelType w:val="hybridMultilevel"/>
    <w:tmpl w:val="CF0698E2"/>
    <w:lvl w:ilvl="0" w:tplc="6E6CA01C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D520BEA"/>
    <w:multiLevelType w:val="multilevel"/>
    <w:tmpl w:val="7346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F8621A"/>
    <w:multiLevelType w:val="hybridMultilevel"/>
    <w:tmpl w:val="724E845E"/>
    <w:lvl w:ilvl="0" w:tplc="6D8402BC">
      <w:start w:val="1"/>
      <w:numFmt w:val="lowerLetter"/>
      <w:lvlText w:val="%1."/>
      <w:lvlJc w:val="left"/>
      <w:pPr>
        <w:ind w:left="786" w:hanging="360"/>
      </w:pPr>
      <w:rPr>
        <w:rFonts w:ascii="Verdana" w:eastAsiaTheme="minorHAnsi" w:hAnsi="Verdana" w:cs="GillSans-Ligh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9B54610"/>
    <w:multiLevelType w:val="multilevel"/>
    <w:tmpl w:val="2A30E52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8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6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69" w:hanging="2520"/>
      </w:pPr>
      <w:rPr>
        <w:rFonts w:hint="default"/>
      </w:rPr>
    </w:lvl>
  </w:abstractNum>
  <w:abstractNum w:abstractNumId="4">
    <w:nsid w:val="5D793303"/>
    <w:multiLevelType w:val="multilevel"/>
    <w:tmpl w:val="8ECA7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034B07"/>
    <w:multiLevelType w:val="hybridMultilevel"/>
    <w:tmpl w:val="FD147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51FCD"/>
    <w:multiLevelType w:val="hybridMultilevel"/>
    <w:tmpl w:val="497C7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F7A1B"/>
    <w:multiLevelType w:val="hybridMultilevel"/>
    <w:tmpl w:val="C21C203C"/>
    <w:lvl w:ilvl="0" w:tplc="F0488EA6">
      <w:start w:val="1"/>
      <w:numFmt w:val="upperLetter"/>
      <w:lvlText w:val="%1."/>
      <w:lvlJc w:val="left"/>
      <w:pPr>
        <w:ind w:left="-207" w:hanging="360"/>
      </w:pPr>
      <w:rPr>
        <w:rFonts w:ascii="Verdana" w:eastAsiaTheme="minorHAnsi" w:hAnsi="Verdana" w:cs="GillSans-Ligh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6CF"/>
    <w:rsid w:val="000402AB"/>
    <w:rsid w:val="0006605A"/>
    <w:rsid w:val="00073196"/>
    <w:rsid w:val="00082A85"/>
    <w:rsid w:val="000E5A68"/>
    <w:rsid w:val="001017A0"/>
    <w:rsid w:val="00102C2A"/>
    <w:rsid w:val="00116630"/>
    <w:rsid w:val="00121AD6"/>
    <w:rsid w:val="0013543D"/>
    <w:rsid w:val="0017353F"/>
    <w:rsid w:val="001A021B"/>
    <w:rsid w:val="001C6CC2"/>
    <w:rsid w:val="001F06A0"/>
    <w:rsid w:val="00206E2E"/>
    <w:rsid w:val="002A575A"/>
    <w:rsid w:val="002C5E54"/>
    <w:rsid w:val="00366CE7"/>
    <w:rsid w:val="003C7FB7"/>
    <w:rsid w:val="003D4965"/>
    <w:rsid w:val="003E67E2"/>
    <w:rsid w:val="003F0FC6"/>
    <w:rsid w:val="00487CCB"/>
    <w:rsid w:val="00493E1F"/>
    <w:rsid w:val="00496534"/>
    <w:rsid w:val="004E252D"/>
    <w:rsid w:val="004F3D6E"/>
    <w:rsid w:val="005375D9"/>
    <w:rsid w:val="005421DD"/>
    <w:rsid w:val="00552E03"/>
    <w:rsid w:val="005875BB"/>
    <w:rsid w:val="005915CA"/>
    <w:rsid w:val="005B5A59"/>
    <w:rsid w:val="006052A4"/>
    <w:rsid w:val="00630233"/>
    <w:rsid w:val="00635D67"/>
    <w:rsid w:val="00654D92"/>
    <w:rsid w:val="0067134B"/>
    <w:rsid w:val="006E11DD"/>
    <w:rsid w:val="006E2E59"/>
    <w:rsid w:val="007023A3"/>
    <w:rsid w:val="0076043C"/>
    <w:rsid w:val="007B5131"/>
    <w:rsid w:val="007B6104"/>
    <w:rsid w:val="007C30B2"/>
    <w:rsid w:val="00802BBB"/>
    <w:rsid w:val="00846145"/>
    <w:rsid w:val="008C12D5"/>
    <w:rsid w:val="008C6035"/>
    <w:rsid w:val="008D2749"/>
    <w:rsid w:val="00936325"/>
    <w:rsid w:val="00966B83"/>
    <w:rsid w:val="009B0099"/>
    <w:rsid w:val="00A02CCF"/>
    <w:rsid w:val="00A05734"/>
    <w:rsid w:val="00A222B3"/>
    <w:rsid w:val="00A60274"/>
    <w:rsid w:val="00AD2704"/>
    <w:rsid w:val="00AD4F54"/>
    <w:rsid w:val="00B362CD"/>
    <w:rsid w:val="00C87185"/>
    <w:rsid w:val="00CD06CF"/>
    <w:rsid w:val="00D34444"/>
    <w:rsid w:val="00D35CF4"/>
    <w:rsid w:val="00D7669E"/>
    <w:rsid w:val="00D96DA5"/>
    <w:rsid w:val="00DF7177"/>
    <w:rsid w:val="00DF7347"/>
    <w:rsid w:val="00DF7689"/>
    <w:rsid w:val="00DF7D93"/>
    <w:rsid w:val="00E07161"/>
    <w:rsid w:val="00E17323"/>
    <w:rsid w:val="00E307CA"/>
    <w:rsid w:val="00EB3CBC"/>
    <w:rsid w:val="00F07FC7"/>
    <w:rsid w:val="00F12917"/>
    <w:rsid w:val="00F5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B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87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875BB"/>
  </w:style>
  <w:style w:type="paragraph" w:styleId="Footer">
    <w:name w:val="footer"/>
    <w:basedOn w:val="Normal"/>
    <w:link w:val="FooterChar"/>
    <w:uiPriority w:val="99"/>
    <w:unhideWhenUsed/>
    <w:rsid w:val="00587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5BB"/>
  </w:style>
  <w:style w:type="paragraph" w:styleId="BalloonText">
    <w:name w:val="Balloon Text"/>
    <w:basedOn w:val="Normal"/>
    <w:link w:val="BalloonTextChar"/>
    <w:uiPriority w:val="99"/>
    <w:semiHidden/>
    <w:unhideWhenUsed/>
    <w:rsid w:val="0058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5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2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02C2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0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02C2A"/>
    <w:rPr>
      <w:strike w:val="0"/>
      <w:dstrike w:val="0"/>
      <w:color w:val="0000FF"/>
      <w:u w:val="none"/>
      <w:effect w:val="none"/>
    </w:rPr>
  </w:style>
  <w:style w:type="character" w:customStyle="1" w:styleId="mail">
    <w:name w:val="mail"/>
    <w:basedOn w:val="DefaultParagraphFont"/>
    <w:rsid w:val="00802BBB"/>
  </w:style>
  <w:style w:type="character" w:customStyle="1" w:styleId="telefon1">
    <w:name w:val="telefon1"/>
    <w:basedOn w:val="DefaultParagraphFont"/>
    <w:rsid w:val="00630233"/>
    <w:rPr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630233"/>
    <w:rPr>
      <w:i/>
      <w:iCs/>
    </w:rPr>
  </w:style>
  <w:style w:type="paragraph" w:customStyle="1" w:styleId="Sub-heading">
    <w:name w:val="Sub-heading"/>
    <w:rsid w:val="00121AD6"/>
    <w:pPr>
      <w:spacing w:after="680" w:line="240" w:lineRule="auto"/>
    </w:pPr>
    <w:rPr>
      <w:rFonts w:ascii="Verdana" w:eastAsia="MS Mincho" w:hAnsi="Verdana" w:cs="Times New Roman"/>
      <w:color w:val="948671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4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3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1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0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78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8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48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82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637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633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9584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3" w:color="5D5C5C"/>
                            <w:right w:val="none" w:sz="0" w:space="0" w:color="auto"/>
                          </w:divBdr>
                          <w:divsChild>
                            <w:div w:id="1058285223">
                              <w:marLeft w:val="-1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47229">
                                  <w:marLeft w:val="-18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6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9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358438">
                                      <w:marLeft w:val="0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336587">
                                          <w:marLeft w:val="0"/>
                                          <w:marRight w:val="125"/>
                                          <w:marTop w:val="2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0199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2211">
                      <w:marLeft w:val="0"/>
                      <w:marRight w:val="125"/>
                      <w:marTop w:val="125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206051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divBdr>
                          <w:divsChild>
                            <w:div w:id="579094996">
                              <w:marLeft w:val="113"/>
                              <w:marRight w:val="138"/>
                              <w:marTop w:val="125"/>
                              <w:marBottom w:val="125"/>
                              <w:divBdr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Towse</dc:creator>
  <cp:lastModifiedBy>Rosie</cp:lastModifiedBy>
  <cp:revision>4</cp:revision>
  <cp:lastPrinted>2013-11-26T14:26:00Z</cp:lastPrinted>
  <dcterms:created xsi:type="dcterms:W3CDTF">2013-12-09T13:53:00Z</dcterms:created>
  <dcterms:modified xsi:type="dcterms:W3CDTF">2013-12-09T14:59:00Z</dcterms:modified>
</cp:coreProperties>
</file>